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rPr>
          <w:rFonts w:hint="default" w:ascii="Times New Roman" w:hAnsi="Times New Roman" w:cs="Times New Roman"/>
          <w:sz w:val="24"/>
          <w:szCs w:val="24"/>
        </w:rPr>
      </w:pPr>
      <w:r>
        <w:rPr>
          <w:rFonts w:hint="default" w:ascii="Times New Roman" w:hAnsi="Times New Roman" w:cs="Times New Roman"/>
          <w:sz w:val="24"/>
          <w:szCs w:val="24"/>
        </w:rPr>
        <w:t>Research Insight</w:t>
      </w:r>
    </w:p>
    <w:p>
      <w:pPr>
        <w:rPr>
          <w:rFonts w:hint="default" w:ascii="Times New Roman" w:hAnsi="Times New Roman" w:cs="Times New Roman"/>
          <w:b/>
          <w:bCs/>
          <w:sz w:val="32"/>
          <w:szCs w:val="32"/>
        </w:rPr>
      </w:pPr>
      <w:r>
        <w:rPr>
          <w:rFonts w:hint="default" w:ascii="Times New Roman" w:hAnsi="Times New Roman" w:cs="Times New Roman"/>
          <w:b/>
          <w:bCs/>
          <w:sz w:val="32"/>
          <w:szCs w:val="32"/>
        </w:rPr>
        <w:t>Advancing Carbon Sequestration and Emission Reduction in Agriculture: Strategies for Sustainable Rural Revitalization</w:t>
      </w:r>
    </w:p>
    <w:p>
      <w:pPr>
        <w:keepNext w:val="0"/>
        <w:keepLines w:val="0"/>
        <w:pageBreakBefore w:val="0"/>
        <w:widowControl w:val="0"/>
        <w:shd w:val="clea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Yan Yan</w:t>
      </w:r>
      <w:r>
        <w:rPr>
          <w:rFonts w:hint="eastAsia" w:ascii="Times New Roman" w:hAnsi="Times New Roman" w:eastAsia="宋体" w:cs="Times New Roman"/>
          <w:sz w:val="21"/>
          <w:szCs w:val="21"/>
          <w:vertAlign w:val="superscript"/>
          <w:lang w:val="en-US" w:eastAsia="zh-CN"/>
        </w:rPr>
        <w:t xml:space="preserve"> *</w:t>
      </w:r>
    </w:p>
    <w:p>
      <w:pPr>
        <w:keepNext w:val="0"/>
        <w:keepLines w:val="0"/>
        <w:pageBreakBefore w:val="0"/>
        <w:widowControl w:val="0"/>
        <w:numPr>
          <w:ilvl w:val="-1"/>
          <w:numId w:val="0"/>
        </w:numPr>
        <w:shd w:val="clear"/>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sz w:val="18"/>
          <w:szCs w:val="18"/>
          <w:lang w:val="en-US" w:eastAsia="zh-CN"/>
        </w:rPr>
      </w:pPr>
      <w:r>
        <w:rPr>
          <w:rFonts w:ascii="Times New Roman" w:hAnsi="Times New Roman" w:cs="Times New Roman" w:eastAsiaTheme="minorEastAsia"/>
          <w:i w:val="0"/>
          <w:iCs w:val="0"/>
          <w:caps w:val="0"/>
          <w:color w:val="333333"/>
          <w:spacing w:val="0"/>
          <w:sz w:val="21"/>
          <w:szCs w:val="21"/>
          <w:shd w:val="clear" w:fill="auto"/>
        </w:rPr>
        <w:t>Pinghu Agricultural Ecological Energy Station</w:t>
      </w:r>
      <w:r>
        <w:rPr>
          <w:rFonts w:hint="eastAsia" w:ascii="Times New Roman" w:hAnsi="Times New Roman" w:cs="Times New Roman"/>
          <w:i w:val="0"/>
          <w:iCs w:val="0"/>
          <w:caps w:val="0"/>
          <w:color w:val="auto"/>
          <w:spacing w:val="0"/>
          <w:sz w:val="21"/>
          <w:szCs w:val="21"/>
          <w:shd w:val="clear" w:fill="auto"/>
          <w:lang w:val="en-US" w:eastAsia="zh-CN"/>
        </w:rPr>
        <w:t>, Pinghu, 314200, Zhejiang, China</w:t>
      </w:r>
    </w:p>
    <w:p>
      <w:pPr>
        <w:keepNext w:val="0"/>
        <w:keepLines w:val="0"/>
        <w:pageBreakBefore w:val="0"/>
        <w:widowControl w:val="0"/>
        <w:numPr>
          <w:ilvl w:val="-1"/>
          <w:numId w:val="0"/>
        </w:numPr>
        <w:shd w:val="clea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w:t>
      </w:r>
      <w:r>
        <w:rPr>
          <w:rFonts w:hint="default" w:ascii="Times New Roman" w:hAnsi="Times New Roman" w:eastAsia="宋体" w:cs="Times New Roman"/>
          <w:sz w:val="18"/>
          <w:szCs w:val="18"/>
        </w:rPr>
        <w:t xml:space="preserve"> Corresponding author</w:t>
      </w:r>
      <w:r>
        <w:rPr>
          <w:rFonts w:hint="eastAsia" w:ascii="Times New Roman" w:hAnsi="Times New Roman" w:eastAsia="宋体" w:cs="Times New Roman"/>
          <w:sz w:val="18"/>
          <w:szCs w:val="18"/>
          <w:lang w:eastAsia="zh-CN"/>
        </w:rPr>
        <w:t>：</w:t>
      </w:r>
      <w:r>
        <w:rPr>
          <w:rFonts w:hint="eastAsia" w:ascii="Times New Roman" w:hAnsi="Times New Roman" w:eastAsia="宋体" w:cs="Times New Roman"/>
          <w:sz w:val="18"/>
          <w:szCs w:val="18"/>
          <w:lang w:val="en-US" w:eastAsia="zh-CN"/>
        </w:rPr>
        <w:fldChar w:fldCharType="begin"/>
      </w:r>
      <w:r>
        <w:rPr>
          <w:rFonts w:hint="eastAsia" w:ascii="Times New Roman" w:hAnsi="Times New Roman" w:eastAsia="宋体" w:cs="Times New Roman"/>
          <w:sz w:val="18"/>
          <w:szCs w:val="18"/>
          <w:lang w:val="en-US" w:eastAsia="zh-CN"/>
        </w:rPr>
        <w:instrText xml:space="preserve"> HYPERLINK "mailto:1749920615@qq.com" </w:instrText>
      </w:r>
      <w:r>
        <w:rPr>
          <w:rFonts w:hint="eastAsia" w:ascii="Times New Roman" w:hAnsi="Times New Roman" w:eastAsia="宋体" w:cs="Times New Roman"/>
          <w:sz w:val="18"/>
          <w:szCs w:val="18"/>
          <w:lang w:val="en-US" w:eastAsia="zh-CN"/>
        </w:rPr>
        <w:fldChar w:fldCharType="separate"/>
      </w:r>
      <w:r>
        <w:rPr>
          <w:rStyle w:val="9"/>
          <w:rFonts w:hint="eastAsia" w:ascii="Times New Roman" w:hAnsi="Times New Roman" w:eastAsia="宋体" w:cs="Times New Roman"/>
          <w:sz w:val="18"/>
          <w:szCs w:val="18"/>
          <w:lang w:val="en-US" w:eastAsia="zh-CN"/>
        </w:rPr>
        <w:t>1749920615@qq.com</w:t>
      </w:r>
      <w:r>
        <w:rPr>
          <w:rFonts w:hint="eastAsia" w:ascii="Times New Roman" w:hAnsi="Times New Roman" w:eastAsia="宋体" w:cs="Times New Roman"/>
          <w:sz w:val="18"/>
          <w:szCs w:val="18"/>
          <w:lang w:val="en-US" w:eastAsia="zh-CN"/>
        </w:rPr>
        <w:fldChar w:fldCharType="end"/>
      </w:r>
    </w:p>
    <w:p>
      <w:pPr>
        <w:rPr>
          <w:rFonts w:hint="default" w:ascii="Times New Roman" w:hAnsi="Times New Roman" w:cs="Times New Roman"/>
          <w:sz w:val="21"/>
          <w:szCs w:val="21"/>
        </w:rPr>
      </w:pPr>
      <w:r>
        <w:rPr>
          <w:rFonts w:hint="default" w:ascii="Times New Roman" w:hAnsi="Times New Roman" w:cs="Times New Roman"/>
          <w:b/>
          <w:bCs/>
          <w:sz w:val="21"/>
          <w:szCs w:val="21"/>
        </w:rPr>
        <w:t>Abstract</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This study explores the multifaceted strategies for enhancing carbon sequestration and reducing greenhouse gas emissions in agriculture, emphasizing their critical role in sustainable rural revitalization. By integrating climate-smart agricultural practices such as conservation tillage, cover cropping, and biochar application, as well as agroforestry systems, the research highlights methods to significantly improve soil organic carbon (SOC) sequestration. It further examines recommended management practices, including crop rotations and precision farming, which not only mitigate emissions but also enhance soil health. The study underscores the importance of stakeholder collaboration—farmers, policymakers, researchers, and the private sector—in driving these efforts. Advanced technologies like satellite monitoring and AI-based soil analysis are identified as crucial tools for optimizing carbon farming. Policy incentives, financial support, and interdisciplinary collaboration are recommended to foster the widespread adoption of sustainable practices. The findings contribute to the global drive for carbon neutrality, promoting a synergistic balance between environmental sustainability and rural community resilience.</w:t>
      </w:r>
    </w:p>
    <w:p>
      <w:pPr>
        <w:rPr>
          <w:rFonts w:hint="default" w:ascii="Times New Roman" w:hAnsi="Times New Roman" w:cs="Times New Roman"/>
          <w:sz w:val="21"/>
          <w:szCs w:val="21"/>
        </w:rPr>
      </w:pPr>
      <w:r>
        <w:rPr>
          <w:rFonts w:hint="default" w:ascii="Times New Roman" w:hAnsi="Times New Roman" w:cs="Times New Roman"/>
          <w:b/>
          <w:bCs/>
          <w:sz w:val="21"/>
          <w:szCs w:val="21"/>
        </w:rPr>
        <w:t>Keywords</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Carbon sequestration</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Sustainable agriculture</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Climate-smart practices</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Rural revitalization</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Soil organic carbon</w:t>
      </w:r>
    </w:p>
    <w:p>
      <w:pPr>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Introduction</w:t>
      </w:r>
    </w:p>
    <w:p>
      <w:pPr>
        <w:rPr>
          <w:rFonts w:hint="default" w:ascii="Times New Roman" w:hAnsi="Times New Roman" w:cs="Times New Roman"/>
          <w:sz w:val="21"/>
          <w:szCs w:val="21"/>
        </w:rPr>
      </w:pPr>
      <w:r>
        <w:rPr>
          <w:rFonts w:hint="default" w:ascii="Times New Roman" w:hAnsi="Times New Roman" w:cs="Times New Roman"/>
          <w:sz w:val="21"/>
          <w:szCs w:val="21"/>
        </w:rPr>
        <w:t>The global push towards carbon neutrality has intensified in recent years, driven by the urgent need to mitigate climate change and its associated impacts. Agriculture, a significant contributor to greenhouse gas (GHG) emissions, plays a dual role in this context. On one hand, it is responsible for substantial carbon emissions through activities such as deforestation, soil cultivation, and livestock</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management</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Lal, 2004</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Sharma</w:t>
      </w:r>
      <w:r>
        <w:rPr>
          <w:rFonts w:hint="default" w:ascii="Times New Roman" w:hAnsi="Times New Roman" w:cs="Times New Roman"/>
          <w:sz w:val="21"/>
          <w:szCs w:val="21"/>
          <w:lang w:val="en-US" w:eastAsia="zh-CN"/>
        </w:rPr>
        <w:t xml:space="preserve"> et al., 2021)</w:t>
      </w:r>
      <w:r>
        <w:rPr>
          <w:rFonts w:hint="default" w:ascii="Times New Roman" w:hAnsi="Times New Roman" w:cs="Times New Roman"/>
          <w:sz w:val="21"/>
          <w:szCs w:val="21"/>
        </w:rPr>
        <w:t>. On the other hand, agriculture holds immense potential for carbon sequestration, which involves capturing atmospheric carbon dioxide (CO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 and storing it in soil and</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biomass</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Hutchinson</w:t>
      </w:r>
      <w:r>
        <w:rPr>
          <w:rFonts w:hint="default" w:ascii="Times New Roman" w:hAnsi="Times New Roman" w:cs="Times New Roman"/>
          <w:sz w:val="21"/>
          <w:szCs w:val="21"/>
          <w:lang w:val="en-US" w:eastAsia="zh-CN"/>
        </w:rPr>
        <w:t xml:space="preserve"> et al., 2007; </w:t>
      </w:r>
      <w:r>
        <w:rPr>
          <w:rFonts w:hint="default" w:ascii="Times New Roman" w:hAnsi="Times New Roman" w:cs="Times New Roman"/>
          <w:sz w:val="21"/>
          <w:szCs w:val="21"/>
        </w:rPr>
        <w:t>Bhattacharyya</w:t>
      </w:r>
      <w:r>
        <w:rPr>
          <w:rFonts w:hint="default" w:ascii="Times New Roman" w:hAnsi="Times New Roman" w:cs="Times New Roman"/>
          <w:sz w:val="21"/>
          <w:szCs w:val="21"/>
          <w:lang w:val="en-US" w:eastAsia="zh-CN"/>
        </w:rPr>
        <w:t xml:space="preserve"> et al., 2021)</w:t>
      </w:r>
      <w:r>
        <w:rPr>
          <w:rFonts w:hint="default" w:ascii="Times New Roman" w:hAnsi="Times New Roman" w:cs="Times New Roman"/>
          <w:sz w:val="21"/>
          <w:szCs w:val="21"/>
        </w:rPr>
        <w:t>. This dual role positions agriculture as a critical sector in the global strategy to achieve carbon neutrality.</w:t>
      </w:r>
    </w:p>
    <w:p>
      <w:pPr>
        <w:rPr>
          <w:rFonts w:hint="default" w:ascii="Times New Roman" w:hAnsi="Times New Roman" w:cs="Times New Roman"/>
          <w:sz w:val="21"/>
          <w:szCs w:val="21"/>
        </w:rPr>
      </w:pPr>
      <w:r>
        <w:rPr>
          <w:rFonts w:hint="default" w:ascii="Times New Roman" w:hAnsi="Times New Roman" w:cs="Times New Roman"/>
          <w:sz w:val="21"/>
          <w:szCs w:val="21"/>
        </w:rPr>
        <w:t>Sustainable rural revitalization is essential for achieving long-term environmental and economic goals. Rural areas, often heavily dependent on agriculture, face unique challenges such as soil degradation, loss of biodiversity, and economic instability. Implementing sustainable agricultural practices can address these challenges by enhancing soil health, increasing biodiversity, and providing economic benefits to rural</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communities</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Aertsens</w:t>
      </w:r>
      <w:r>
        <w:rPr>
          <w:rFonts w:hint="default" w:ascii="Times New Roman" w:hAnsi="Times New Roman" w:cs="Times New Roman"/>
          <w:sz w:val="21"/>
          <w:szCs w:val="21"/>
          <w:lang w:val="en-US" w:eastAsia="zh-CN"/>
        </w:rPr>
        <w:t xml:space="preserve"> et al., 2013; </w:t>
      </w:r>
      <w:r>
        <w:rPr>
          <w:rFonts w:hint="default" w:ascii="Times New Roman" w:hAnsi="Times New Roman" w:cs="Times New Roman"/>
          <w:sz w:val="21"/>
          <w:szCs w:val="21"/>
        </w:rPr>
        <w:t>Sharma</w:t>
      </w:r>
      <w:r>
        <w:rPr>
          <w:rFonts w:hint="default" w:ascii="Times New Roman" w:hAnsi="Times New Roman" w:cs="Times New Roman"/>
          <w:sz w:val="21"/>
          <w:szCs w:val="21"/>
          <w:lang w:val="en-US" w:eastAsia="zh-CN"/>
        </w:rPr>
        <w:t xml:space="preserve"> et al., 2021)</w:t>
      </w:r>
      <w:r>
        <w:rPr>
          <w:rFonts w:hint="default" w:ascii="Times New Roman" w:hAnsi="Times New Roman" w:cs="Times New Roman"/>
          <w:sz w:val="21"/>
          <w:szCs w:val="21"/>
        </w:rPr>
        <w:t>. Agroforestry, conservation tillage, and other sustainable practices not only improve carbon sequestration but also contribute to the overall resilience and sustainability of rural</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areas</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Hutchinson</w:t>
      </w:r>
      <w:r>
        <w:rPr>
          <w:rFonts w:hint="default" w:ascii="Times New Roman" w:hAnsi="Times New Roman" w:cs="Times New Roman"/>
          <w:sz w:val="21"/>
          <w:szCs w:val="21"/>
          <w:lang w:val="en-US" w:eastAsia="zh-CN"/>
        </w:rPr>
        <w:t xml:space="preserve"> et al., 2007; </w:t>
      </w:r>
      <w:r>
        <w:rPr>
          <w:rFonts w:hint="default" w:ascii="Times New Roman" w:hAnsi="Times New Roman" w:cs="Times New Roman"/>
          <w:sz w:val="21"/>
          <w:szCs w:val="21"/>
        </w:rPr>
        <w:t>Lal, 2020</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rPr>
        <w:t>. Thus, sustainable rural revitalization is not only a pathway to environmental sustainability but also a means to improve the livelihoods of rural populations.</w:t>
      </w:r>
    </w:p>
    <w:p>
      <w:pPr>
        <w:rPr>
          <w:rFonts w:hint="default" w:ascii="Times New Roman" w:hAnsi="Times New Roman" w:cs="Times New Roman"/>
          <w:sz w:val="21"/>
          <w:szCs w:val="21"/>
        </w:rPr>
      </w:pPr>
      <w:r>
        <w:rPr>
          <w:rFonts w:hint="default" w:ascii="Times New Roman" w:hAnsi="Times New Roman" w:cs="Times New Roman"/>
          <w:sz w:val="21"/>
          <w:szCs w:val="21"/>
        </w:rPr>
        <w:t>This study focuses on advancing carbon sequestration and emission reduction strategies in agriculture, emphasizing their vital role in sustainable rural revitalization. It evaluates the effectiveness of practices such as agroforestry, conservation tillage, and cover cropping in enhancing carbon storage and reducing emissions, while also analyzing the socio-economic benefits of these measures for rural communities, including improved soil health, increased crop yields, and enhanced economic stability. Furthermore, the study identifies policy measures and incentives that promote the adoption of sustainable agricultural practices and integrates these strategies into broader rural development plans to ensure alignment between environmental and economic objectives. The aim is to contribute to global efforts toward carbon neutrality and sustainable development, highlighting the critical role of agriculture and rural communities in this process.</w:t>
      </w:r>
    </w:p>
    <w:p>
      <w:pPr>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Current Challenges in Agricultural Carbon Management</w:t>
      </w:r>
    </w:p>
    <w:p>
      <w:pPr>
        <w:rPr>
          <w:rFonts w:hint="default" w:ascii="Times New Roman" w:hAnsi="Times New Roman" w:cs="Times New Roman"/>
          <w:b/>
          <w:bCs/>
          <w:sz w:val="21"/>
          <w:szCs w:val="21"/>
        </w:rPr>
      </w:pPr>
      <w:r>
        <w:rPr>
          <w:rFonts w:hint="default" w:ascii="Times New Roman" w:hAnsi="Times New Roman" w:cs="Times New Roman"/>
          <w:b/>
          <w:bCs/>
          <w:sz w:val="21"/>
          <w:szCs w:val="21"/>
          <w:lang w:val="en-US" w:eastAsia="zh-CN"/>
        </w:rPr>
        <w:t xml:space="preserve">2.1 </w:t>
      </w:r>
      <w:r>
        <w:rPr>
          <w:rFonts w:hint="default" w:ascii="Times New Roman" w:hAnsi="Times New Roman" w:cs="Times New Roman"/>
          <w:b/>
          <w:bCs/>
          <w:sz w:val="21"/>
          <w:szCs w:val="21"/>
        </w:rPr>
        <w:t>Economic constraints</w:t>
      </w:r>
    </w:p>
    <w:p>
      <w:pPr>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2.1.1 </w:t>
      </w:r>
      <w:r>
        <w:rPr>
          <w:rFonts w:hint="default" w:ascii="Times New Roman" w:hAnsi="Times New Roman" w:cs="Times New Roman"/>
          <w:sz w:val="21"/>
          <w:szCs w:val="21"/>
        </w:rPr>
        <w:t>High input costs and low returns of green farming practices</w:t>
      </w:r>
    </w:p>
    <w:p>
      <w:pPr>
        <w:rPr>
          <w:rFonts w:hint="default" w:ascii="Times New Roman" w:hAnsi="Times New Roman" w:cs="Times New Roman"/>
          <w:sz w:val="21"/>
          <w:szCs w:val="21"/>
        </w:rPr>
      </w:pPr>
      <w:r>
        <w:rPr>
          <w:rFonts w:hint="default" w:ascii="Times New Roman" w:hAnsi="Times New Roman" w:cs="Times New Roman"/>
          <w:sz w:val="21"/>
          <w:szCs w:val="21"/>
        </w:rPr>
        <w:t>Implementing green farming practices such as conservation tillage, cover cropping, and biochar applications often involves high initial costs and investments in new technologies and inputs. These practices, while beneficial for soil organic carbon (SOC) sequestration, can be economically burdensome for farmers, especially in the short term. For instance, biochar applications, although effective in increasing SOC content by 39%, require significant financial</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outlay</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Bai</w:t>
      </w:r>
      <w:r>
        <w:rPr>
          <w:rFonts w:hint="default" w:ascii="Times New Roman" w:hAnsi="Times New Roman" w:cs="Times New Roman"/>
          <w:sz w:val="21"/>
          <w:szCs w:val="21"/>
          <w:lang w:val="en-US" w:eastAsia="zh-CN"/>
        </w:rPr>
        <w:t xml:space="preserve"> et al., 2019)</w:t>
      </w:r>
      <w:r>
        <w:rPr>
          <w:rFonts w:hint="default" w:ascii="Times New Roman" w:hAnsi="Times New Roman" w:cs="Times New Roman"/>
          <w:sz w:val="21"/>
          <w:szCs w:val="21"/>
        </w:rPr>
        <w:t>. Additionally, the economic returns from these practices may not be immediately apparent, leading to reluctance among farmers to adopt</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them</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Tiefenbacher</w:t>
      </w:r>
      <w:r>
        <w:rPr>
          <w:rFonts w:hint="default" w:ascii="Times New Roman" w:hAnsi="Times New Roman" w:cs="Times New Roman"/>
          <w:sz w:val="21"/>
          <w:szCs w:val="21"/>
          <w:lang w:val="en-US" w:eastAsia="zh-CN"/>
        </w:rPr>
        <w:t xml:space="preserve"> et al., 2021)</w:t>
      </w:r>
      <w:r>
        <w:rPr>
          <w:rFonts w:hint="default" w:ascii="Times New Roman" w:hAnsi="Times New Roman" w:cs="Times New Roman"/>
          <w:sz w:val="21"/>
          <w:szCs w:val="21"/>
        </w:rPr>
        <w:t>.</w:t>
      </w:r>
    </w:p>
    <w:p>
      <w:pPr>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2.1.2 </w:t>
      </w:r>
      <w:r>
        <w:rPr>
          <w:rFonts w:hint="default" w:ascii="Times New Roman" w:hAnsi="Times New Roman" w:cs="Times New Roman"/>
          <w:sz w:val="21"/>
          <w:szCs w:val="21"/>
        </w:rPr>
        <w:t>Long gestation period for benefits from eco-friendly technologies</w:t>
      </w:r>
    </w:p>
    <w:p>
      <w:pPr>
        <w:rPr>
          <w:rFonts w:hint="default" w:ascii="Times New Roman" w:hAnsi="Times New Roman" w:cs="Times New Roman"/>
          <w:sz w:val="21"/>
          <w:szCs w:val="21"/>
        </w:rPr>
      </w:pPr>
      <w:r>
        <w:rPr>
          <w:rFonts w:hint="default" w:ascii="Times New Roman" w:hAnsi="Times New Roman" w:cs="Times New Roman"/>
          <w:sz w:val="21"/>
          <w:szCs w:val="21"/>
        </w:rPr>
        <w:t>The benefits of eco-friendly technologies in agriculture, such as increased SOC levels and improved soil health, often take years to materialize. This long gestation period can be a significant deterrent for farmers who need more immediate returns on their investments. For example, the new equilibrium SOC level may be achieved over 25 to 50 years, making it challenging for farmers to see the immediate benefits of their</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efforts</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Jarecki</w:t>
      </w:r>
      <w:r>
        <w:rPr>
          <w:rFonts w:hint="default" w:ascii="Times New Roman" w:hAnsi="Times New Roman" w:cs="Times New Roman"/>
          <w:sz w:val="21"/>
          <w:szCs w:val="21"/>
          <w:lang w:val="en-US" w:eastAsia="zh-CN"/>
        </w:rPr>
        <w:t xml:space="preserve"> and</w:t>
      </w:r>
      <w:r>
        <w:rPr>
          <w:rFonts w:hint="default" w:ascii="Times New Roman" w:hAnsi="Times New Roman" w:cs="Times New Roman"/>
          <w:sz w:val="21"/>
          <w:szCs w:val="21"/>
        </w:rPr>
        <w:t xml:space="preserve"> Lal, 2003</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rPr>
        <w:t>. This delay in realizing benefits can hinder the widespread adoption of sustainable practices.</w:t>
      </w:r>
    </w:p>
    <w:p>
      <w:pPr>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2.1.3 </w:t>
      </w:r>
      <w:r>
        <w:rPr>
          <w:rFonts w:hint="default" w:ascii="Times New Roman" w:hAnsi="Times New Roman" w:cs="Times New Roman"/>
          <w:sz w:val="21"/>
          <w:szCs w:val="21"/>
        </w:rPr>
        <w:t>Limited recognition of eco-labeled products in the market</w:t>
      </w:r>
    </w:p>
    <w:p>
      <w:pPr>
        <w:rPr>
          <w:rFonts w:hint="default" w:ascii="Times New Roman" w:hAnsi="Times New Roman" w:cs="Times New Roman"/>
          <w:sz w:val="21"/>
          <w:szCs w:val="21"/>
        </w:rPr>
      </w:pPr>
      <w:r>
        <w:rPr>
          <w:rFonts w:hint="default" w:ascii="Times New Roman" w:hAnsi="Times New Roman" w:cs="Times New Roman"/>
          <w:sz w:val="21"/>
          <w:szCs w:val="21"/>
        </w:rPr>
        <w:t>Eco-labeled products, which are produced using sustainable farming practices, often struggle to gain recognition and command premium prices in the market. This limited market recognition can reduce the financial incentives for farmers to adopt green practices. Despite the environmental benefits, such as reduced greenhouse gas emissions and improved soil health, the lack of consumer awareness and demand for eco-labeled products can undermine the economic viability of sustainable</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agriculture</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Saikanth</w:t>
      </w:r>
      <w:r>
        <w:rPr>
          <w:rFonts w:hint="default" w:ascii="Times New Roman" w:hAnsi="Times New Roman" w:cs="Times New Roman"/>
          <w:sz w:val="21"/>
          <w:szCs w:val="21"/>
          <w:lang w:val="en-US" w:eastAsia="zh-CN"/>
        </w:rPr>
        <w:t xml:space="preserve"> et al., 2023)</w:t>
      </w:r>
      <w:r>
        <w:rPr>
          <w:rFonts w:hint="default" w:ascii="Times New Roman" w:hAnsi="Times New Roman" w:cs="Times New Roman"/>
          <w:sz w:val="21"/>
          <w:szCs w:val="21"/>
        </w:rPr>
        <w:t>.</w:t>
      </w:r>
    </w:p>
    <w:p>
      <w:pPr>
        <w:rPr>
          <w:rFonts w:hint="default" w:ascii="Times New Roman" w:hAnsi="Times New Roman" w:cs="Times New Roman"/>
          <w:b/>
          <w:bCs/>
          <w:sz w:val="21"/>
          <w:szCs w:val="21"/>
        </w:rPr>
      </w:pPr>
      <w:r>
        <w:rPr>
          <w:rFonts w:hint="default" w:ascii="Times New Roman" w:hAnsi="Times New Roman" w:cs="Times New Roman"/>
          <w:b/>
          <w:bCs/>
          <w:sz w:val="21"/>
          <w:szCs w:val="21"/>
          <w:lang w:val="en-US" w:eastAsia="zh-CN"/>
        </w:rPr>
        <w:t xml:space="preserve">2.2 </w:t>
      </w:r>
      <w:r>
        <w:rPr>
          <w:rFonts w:hint="default" w:ascii="Times New Roman" w:hAnsi="Times New Roman" w:cs="Times New Roman"/>
          <w:b/>
          <w:bCs/>
          <w:sz w:val="21"/>
          <w:szCs w:val="21"/>
        </w:rPr>
        <w:t>Spatial and structural limitations</w:t>
      </w:r>
    </w:p>
    <w:p>
      <w:pPr>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2.2.1 </w:t>
      </w:r>
      <w:r>
        <w:rPr>
          <w:rFonts w:hint="default" w:ascii="Times New Roman" w:hAnsi="Times New Roman" w:cs="Times New Roman"/>
          <w:sz w:val="21"/>
          <w:szCs w:val="21"/>
        </w:rPr>
        <w:t>Shortage of buffer zones and treatment facilities</w:t>
      </w:r>
    </w:p>
    <w:p>
      <w:pPr>
        <w:rPr>
          <w:rFonts w:hint="default" w:ascii="Times New Roman" w:hAnsi="Times New Roman" w:cs="Times New Roman"/>
          <w:sz w:val="21"/>
          <w:szCs w:val="21"/>
        </w:rPr>
      </w:pPr>
      <w:r>
        <w:rPr>
          <w:rFonts w:hint="default" w:ascii="Times New Roman" w:hAnsi="Times New Roman" w:cs="Times New Roman"/>
          <w:sz w:val="21"/>
          <w:szCs w:val="21"/>
        </w:rPr>
        <w:t>The implementation of effective carbon management practices in agriculture is often hampered by the shortage of buffer zones and treatment facilities. These spatial limitations can restrict the ability to manage and treat agricultural runoff, which is crucial for maintaining soil health and enhancing carbon sequestration. For instance, the lack of adequate buffer zones can lead to increased soil erosion and nutrient runoff, negatively impacting SOC</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levels</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Govaerts</w:t>
      </w:r>
      <w:r>
        <w:rPr>
          <w:rFonts w:hint="default" w:ascii="Times New Roman" w:hAnsi="Times New Roman" w:cs="Times New Roman"/>
          <w:sz w:val="21"/>
          <w:szCs w:val="21"/>
          <w:lang w:val="en-US" w:eastAsia="zh-CN"/>
        </w:rPr>
        <w:t xml:space="preserve"> et al., 2009)</w:t>
      </w:r>
      <w:r>
        <w:rPr>
          <w:rFonts w:hint="default" w:ascii="Times New Roman" w:hAnsi="Times New Roman" w:cs="Times New Roman"/>
          <w:sz w:val="21"/>
          <w:szCs w:val="21"/>
        </w:rPr>
        <w:t>.</w:t>
      </w:r>
    </w:p>
    <w:p>
      <w:pPr>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2.2.2 </w:t>
      </w:r>
      <w:r>
        <w:rPr>
          <w:rFonts w:hint="default" w:ascii="Times New Roman" w:hAnsi="Times New Roman" w:cs="Times New Roman"/>
          <w:sz w:val="21"/>
          <w:szCs w:val="21"/>
        </w:rPr>
        <w:t>Spatial planning conflicts with carbon management goals</w:t>
      </w:r>
    </w:p>
    <w:p>
      <w:pPr>
        <w:rPr>
          <w:rFonts w:hint="default" w:ascii="Times New Roman" w:hAnsi="Times New Roman" w:cs="Times New Roman"/>
          <w:sz w:val="21"/>
          <w:szCs w:val="21"/>
        </w:rPr>
      </w:pPr>
      <w:r>
        <w:rPr>
          <w:rFonts w:hint="default" w:ascii="Times New Roman" w:hAnsi="Times New Roman" w:cs="Times New Roman"/>
          <w:sz w:val="21"/>
          <w:szCs w:val="21"/>
        </w:rPr>
        <w:t>Conflicts between spatial planning and carbon management goals can arise when land use priorities do not align with the objectives of carbon sequestration. For example, the conversion of agricultural land to urban or industrial use can reduce the available area for implementing carbon farming practices, thereby limiting the potential for SOC</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sequestration</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Kåresdotter</w:t>
      </w:r>
      <w:r>
        <w:rPr>
          <w:rFonts w:hint="default" w:ascii="Times New Roman" w:hAnsi="Times New Roman" w:cs="Times New Roman"/>
          <w:sz w:val="21"/>
          <w:szCs w:val="21"/>
          <w:lang w:val="en-US" w:eastAsia="zh-CN"/>
        </w:rPr>
        <w:t xml:space="preserve"> et al., 2022)</w:t>
      </w:r>
      <w:r>
        <w:rPr>
          <w:rFonts w:hint="default" w:ascii="Times New Roman" w:hAnsi="Times New Roman" w:cs="Times New Roman"/>
          <w:sz w:val="21"/>
          <w:szCs w:val="21"/>
        </w:rPr>
        <w:t>. Effective spatial planning that integrates carbon management goals is essential for maximizing the benefits of sustainable agriculture.</w:t>
      </w:r>
    </w:p>
    <w:p>
      <w:pPr>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2.2.3 </w:t>
      </w:r>
      <w:r>
        <w:rPr>
          <w:rFonts w:hint="default" w:ascii="Times New Roman" w:hAnsi="Times New Roman" w:cs="Times New Roman"/>
          <w:sz w:val="21"/>
          <w:szCs w:val="21"/>
        </w:rPr>
        <w:t>Disconnection in the agricultural circular economy</w:t>
      </w:r>
    </w:p>
    <w:p>
      <w:pPr>
        <w:rPr>
          <w:rFonts w:hint="default" w:ascii="Times New Roman" w:hAnsi="Times New Roman" w:cs="Times New Roman"/>
          <w:sz w:val="21"/>
          <w:szCs w:val="21"/>
        </w:rPr>
      </w:pPr>
      <w:r>
        <w:rPr>
          <w:rFonts w:hint="default" w:ascii="Times New Roman" w:hAnsi="Times New Roman" w:cs="Times New Roman"/>
          <w:sz w:val="21"/>
          <w:szCs w:val="21"/>
        </w:rPr>
        <w:t>A well-functioning agricultural circular economy is crucial for effective carbon management. However, disconnections in this system, such as the lack of integration between crop and livestock production or the inefficient use of agricultural residues, can hinder carbon sequestration efforts. For instance, incorporating crop residues into the soil is a promising practice for increasing SOC content, but it requires a coordinated approach that is often lacking in fragmented agricultural</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systems</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Qiu</w:t>
      </w:r>
      <w:r>
        <w:rPr>
          <w:rFonts w:hint="default" w:ascii="Times New Roman" w:hAnsi="Times New Roman" w:cs="Times New Roman"/>
          <w:sz w:val="21"/>
          <w:szCs w:val="21"/>
          <w:lang w:val="en-US" w:eastAsia="zh-CN"/>
        </w:rPr>
        <w:t xml:space="preserve"> et al., 2009)</w:t>
      </w:r>
      <w:r>
        <w:rPr>
          <w:rFonts w:hint="default" w:ascii="Times New Roman" w:hAnsi="Times New Roman" w:cs="Times New Roman"/>
          <w:sz w:val="21"/>
          <w:szCs w:val="21"/>
        </w:rPr>
        <w:t>.</w:t>
      </w:r>
    </w:p>
    <w:p>
      <w:pPr>
        <w:rPr>
          <w:rFonts w:hint="default" w:ascii="Times New Roman" w:hAnsi="Times New Roman" w:cs="Times New Roman"/>
          <w:b/>
          <w:bCs/>
          <w:sz w:val="21"/>
          <w:szCs w:val="21"/>
        </w:rPr>
      </w:pPr>
      <w:r>
        <w:rPr>
          <w:rFonts w:hint="default" w:ascii="Times New Roman" w:hAnsi="Times New Roman" w:cs="Times New Roman"/>
          <w:b/>
          <w:bCs/>
          <w:sz w:val="21"/>
          <w:szCs w:val="21"/>
          <w:lang w:val="en-US" w:eastAsia="zh-CN"/>
        </w:rPr>
        <w:t xml:space="preserve">2.3 </w:t>
      </w:r>
      <w:r>
        <w:rPr>
          <w:rFonts w:hint="default" w:ascii="Times New Roman" w:hAnsi="Times New Roman" w:cs="Times New Roman"/>
          <w:b/>
          <w:bCs/>
          <w:sz w:val="21"/>
          <w:szCs w:val="21"/>
        </w:rPr>
        <w:t>Gaps in measurement and standardization</w:t>
      </w:r>
    </w:p>
    <w:p>
      <w:pPr>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2.3.1 </w:t>
      </w:r>
      <w:r>
        <w:rPr>
          <w:rFonts w:hint="default" w:ascii="Times New Roman" w:hAnsi="Times New Roman" w:cs="Times New Roman"/>
          <w:sz w:val="21"/>
          <w:szCs w:val="21"/>
        </w:rPr>
        <w:t>Lack of unified carbon accounting standards</w:t>
      </w:r>
    </w:p>
    <w:p>
      <w:pPr>
        <w:rPr>
          <w:rFonts w:hint="default" w:ascii="Times New Roman" w:hAnsi="Times New Roman" w:cs="Times New Roman"/>
          <w:sz w:val="21"/>
          <w:szCs w:val="21"/>
        </w:rPr>
      </w:pPr>
      <w:r>
        <w:rPr>
          <w:rFonts w:hint="default" w:ascii="Times New Roman" w:hAnsi="Times New Roman" w:cs="Times New Roman"/>
          <w:sz w:val="21"/>
          <w:szCs w:val="21"/>
        </w:rPr>
        <w:t>The absence of unified carbon accounting standards poses a significant challenge for measuring and verifying the carbon sequestration potential of different agricultural practices. This lack of standardization can lead to inconsistencies in data and make it difficult to compare the effectiveness of various practices. For example, the wide divergence in measurements regarding the influences of climate-smart agriculture (CSA) practices on SOC sequestration highlights the need for standardized accounting</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methods</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Bai</w:t>
      </w:r>
      <w:r>
        <w:rPr>
          <w:rFonts w:hint="default" w:ascii="Times New Roman" w:hAnsi="Times New Roman" w:cs="Times New Roman"/>
          <w:sz w:val="21"/>
          <w:szCs w:val="21"/>
          <w:lang w:val="en-US" w:eastAsia="zh-CN"/>
        </w:rPr>
        <w:t xml:space="preserve"> et al., 2019)</w:t>
      </w:r>
      <w:r>
        <w:rPr>
          <w:rFonts w:hint="default" w:ascii="Times New Roman" w:hAnsi="Times New Roman" w:cs="Times New Roman"/>
          <w:sz w:val="21"/>
          <w:szCs w:val="21"/>
        </w:rPr>
        <w:t>.</w:t>
      </w:r>
    </w:p>
    <w:p>
      <w:pPr>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2.3.2 </w:t>
      </w:r>
      <w:r>
        <w:rPr>
          <w:rFonts w:hint="default" w:ascii="Times New Roman" w:hAnsi="Times New Roman" w:cs="Times New Roman"/>
          <w:sz w:val="21"/>
          <w:szCs w:val="21"/>
        </w:rPr>
        <w:t>Inadequate frameworks for low-carbon agriculture</w:t>
      </w:r>
    </w:p>
    <w:p>
      <w:pPr>
        <w:rPr>
          <w:rFonts w:hint="default" w:ascii="Times New Roman" w:hAnsi="Times New Roman" w:cs="Times New Roman"/>
          <w:sz w:val="21"/>
          <w:szCs w:val="21"/>
        </w:rPr>
      </w:pPr>
      <w:r>
        <w:rPr>
          <w:rFonts w:hint="default" w:ascii="Times New Roman" w:hAnsi="Times New Roman" w:cs="Times New Roman"/>
          <w:sz w:val="21"/>
          <w:szCs w:val="21"/>
        </w:rPr>
        <w:t>Current frameworks for promoting low-carbon agriculture are often inadequate, lacking the necessary guidelines and support for farmers to implement sustainable practices effectively. This inadequacy can result in suboptimal adoption rates and reduced impact on carbon sequestration. For instance, while conservation agriculture has been shown to improve soil health and reduce emissions, the lack of comprehensive frameworks to support its implementation limits its widespread</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adoption</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Francaviglia</w:t>
      </w:r>
      <w:r>
        <w:rPr>
          <w:rFonts w:hint="default" w:ascii="Times New Roman" w:hAnsi="Times New Roman" w:cs="Times New Roman"/>
          <w:sz w:val="21"/>
          <w:szCs w:val="21"/>
          <w:lang w:val="en-US" w:eastAsia="zh-CN"/>
        </w:rPr>
        <w:t xml:space="preserve"> et al., 2023) (Figure 1)</w:t>
      </w:r>
      <w:r>
        <w:rPr>
          <w:rFonts w:hint="default" w:ascii="Times New Roman" w:hAnsi="Times New Roman" w:cs="Times New Roman"/>
          <w:sz w:val="21"/>
          <w:szCs w:val="21"/>
        </w:rPr>
        <w:t>.</w:t>
      </w:r>
    </w:p>
    <w:p>
      <w:pPr>
        <w:rPr>
          <w:rFonts w:hint="default" w:ascii="Times New Roman" w:hAnsi="Times New Roman" w:cs="Times New Roman"/>
          <w:sz w:val="21"/>
          <w:szCs w:val="21"/>
        </w:rPr>
      </w:pPr>
    </w:p>
    <w:p>
      <w:pP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drawing>
          <wp:inline distT="0" distB="0" distL="114300" distR="114300">
            <wp:extent cx="6094095" cy="3043555"/>
            <wp:effectExtent l="0" t="0" r="1905" b="4445"/>
            <wp:docPr id="2" name="图片 2" descr="3450e472-0470-406f-a944-7710bfb1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450e472-0470-406f-a944-7710bfb13254"/>
                    <pic:cNvPicPr>
                      <a:picLocks noChangeAspect="1"/>
                    </pic:cNvPicPr>
                  </pic:nvPicPr>
                  <pic:blipFill>
                    <a:blip r:embed="rId4"/>
                    <a:stretch>
                      <a:fillRect/>
                    </a:stretch>
                  </pic:blipFill>
                  <pic:spPr>
                    <a:xfrm>
                      <a:off x="0" y="0"/>
                      <a:ext cx="6094095" cy="3043555"/>
                    </a:xfrm>
                    <a:prstGeom prst="rect">
                      <a:avLst/>
                    </a:prstGeom>
                  </pic:spPr>
                </pic:pic>
              </a:graphicData>
            </a:graphic>
          </wp:inline>
        </w:drawing>
      </w:r>
    </w:p>
    <w:p>
      <w:pP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 xml:space="preserve">Figure 1 The three challenges related to the new architecture of the European Common Agricultural Policy (CAP) (Adopted from </w:t>
      </w:r>
      <w:r>
        <w:rPr>
          <w:rFonts w:hint="default" w:ascii="Times New Roman" w:hAnsi="Times New Roman" w:cs="Times New Roman"/>
          <w:sz w:val="18"/>
          <w:szCs w:val="18"/>
        </w:rPr>
        <w:t>Francaviglia</w:t>
      </w:r>
      <w:r>
        <w:rPr>
          <w:rFonts w:hint="default" w:ascii="Times New Roman" w:hAnsi="Times New Roman" w:cs="Times New Roman"/>
          <w:sz w:val="18"/>
          <w:szCs w:val="18"/>
          <w:lang w:val="en-US" w:eastAsia="zh-CN"/>
        </w:rPr>
        <w:t xml:space="preserve"> et al., 2023)</w:t>
      </w:r>
    </w:p>
    <w:p>
      <w:pPr>
        <w:rPr>
          <w:rFonts w:hint="default" w:ascii="Times New Roman" w:hAnsi="Times New Roman" w:cs="Times New Roman"/>
          <w:sz w:val="21"/>
          <w:szCs w:val="21"/>
          <w:lang w:val="en-US" w:eastAsia="zh-CN"/>
        </w:rPr>
      </w:pPr>
    </w:p>
    <w:p>
      <w:pPr>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2.3.3 </w:t>
      </w:r>
      <w:r>
        <w:rPr>
          <w:rFonts w:hint="default" w:ascii="Times New Roman" w:hAnsi="Times New Roman" w:cs="Times New Roman"/>
          <w:sz w:val="21"/>
          <w:szCs w:val="21"/>
        </w:rPr>
        <w:t>Absence of robust feedback mechanisms for environment-agriculture interactions</w:t>
      </w:r>
    </w:p>
    <w:p>
      <w:pPr>
        <w:rPr>
          <w:rFonts w:hint="default" w:ascii="Times New Roman" w:hAnsi="Times New Roman" w:cs="Times New Roman"/>
          <w:sz w:val="21"/>
          <w:szCs w:val="21"/>
        </w:rPr>
      </w:pPr>
      <w:r>
        <w:rPr>
          <w:rFonts w:hint="default" w:ascii="Times New Roman" w:hAnsi="Times New Roman" w:cs="Times New Roman"/>
          <w:sz w:val="21"/>
          <w:szCs w:val="21"/>
        </w:rPr>
        <w:t>Robust feedback mechanisms that monitor and evaluate the interactions between agricultural practices and environmental outcomes are essential for adaptive management. However, the absence of such mechanisms can hinder the ability to make informed decisions and optimize carbon management strategies. For example, the lack of feedback on the impacts of different carbon farming practices on nitrogen cycling and greenhouse gas emissions can lead to unintended consequences, such as increased nitrous oxide</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emissions</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Almaraz</w:t>
      </w:r>
      <w:r>
        <w:rPr>
          <w:rFonts w:hint="default" w:ascii="Times New Roman" w:hAnsi="Times New Roman" w:cs="Times New Roman"/>
          <w:sz w:val="21"/>
          <w:szCs w:val="21"/>
          <w:lang w:val="en-US" w:eastAsia="zh-CN"/>
        </w:rPr>
        <w:t xml:space="preserve"> et al., 2021)</w:t>
      </w:r>
      <w:r>
        <w:rPr>
          <w:rFonts w:hint="default" w:ascii="Times New Roman" w:hAnsi="Times New Roman" w:cs="Times New Roman"/>
          <w:sz w:val="21"/>
          <w:szCs w:val="21"/>
        </w:rPr>
        <w:t>.</w:t>
      </w:r>
    </w:p>
    <w:p>
      <w:pPr>
        <w:rPr>
          <w:rFonts w:hint="default" w:ascii="Times New Roman" w:hAnsi="Times New Roman" w:cs="Times New Roman"/>
          <w:b/>
          <w:bCs/>
          <w:sz w:val="24"/>
          <w:szCs w:val="24"/>
        </w:rPr>
      </w:pPr>
      <w:r>
        <w:rPr>
          <w:rFonts w:hint="default" w:ascii="Times New Roman" w:hAnsi="Times New Roman" w:cs="Times New Roman"/>
          <w:b/>
          <w:bCs/>
          <w:sz w:val="24"/>
          <w:szCs w:val="24"/>
        </w:rPr>
        <w:t>3 Strategies for Optimizing Agricultural Systems</w:t>
      </w:r>
    </w:p>
    <w:p>
      <w:pPr>
        <w:rPr>
          <w:rFonts w:hint="default" w:ascii="Times New Roman" w:hAnsi="Times New Roman" w:cs="Times New Roman"/>
          <w:b/>
          <w:bCs/>
          <w:sz w:val="21"/>
          <w:szCs w:val="21"/>
        </w:rPr>
      </w:pPr>
      <w:r>
        <w:rPr>
          <w:rFonts w:hint="default" w:ascii="Times New Roman" w:hAnsi="Times New Roman" w:cs="Times New Roman"/>
          <w:b/>
          <w:bCs/>
          <w:sz w:val="21"/>
          <w:szCs w:val="21"/>
        </w:rPr>
        <w:t>3.1 Structural adjustments</w:t>
      </w:r>
    </w:p>
    <w:p>
      <w:pPr>
        <w:rPr>
          <w:rFonts w:hint="default" w:ascii="Times New Roman" w:hAnsi="Times New Roman" w:cs="Times New Roman"/>
          <w:sz w:val="21"/>
          <w:szCs w:val="21"/>
        </w:rPr>
      </w:pPr>
      <w:r>
        <w:rPr>
          <w:rFonts w:hint="default" w:ascii="Times New Roman" w:hAnsi="Times New Roman" w:cs="Times New Roman"/>
          <w:sz w:val="21"/>
          <w:szCs w:val="21"/>
        </w:rPr>
        <w:t>Balancing crop and livestock systems is essential for enhancing productivity and sustainability in agricultural practices. Integrating livestock with crop production can improve soil organic carbon (SOC) levels, which is crucial for soil health and fertility. For instance, agroforestry systems that combine trees, crops, and livestock have shown significant potential in increasing carbon sequestration and reducing greenhouse gas (GHG)</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emissions</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Bhattacharyya</w:t>
      </w:r>
      <w:r>
        <w:rPr>
          <w:rFonts w:hint="default" w:ascii="Times New Roman" w:hAnsi="Times New Roman" w:cs="Times New Roman"/>
          <w:sz w:val="21"/>
          <w:szCs w:val="21"/>
          <w:lang w:val="en-US" w:eastAsia="zh-CN"/>
        </w:rPr>
        <w:t xml:space="preserve"> et al., 2021; </w:t>
      </w:r>
      <w:r>
        <w:rPr>
          <w:rFonts w:hint="default" w:ascii="Times New Roman" w:hAnsi="Times New Roman" w:cs="Times New Roman"/>
          <w:sz w:val="21"/>
          <w:szCs w:val="21"/>
        </w:rPr>
        <w:t>Sharma</w:t>
      </w:r>
      <w:r>
        <w:rPr>
          <w:rFonts w:hint="default" w:ascii="Times New Roman" w:hAnsi="Times New Roman" w:cs="Times New Roman"/>
          <w:sz w:val="21"/>
          <w:szCs w:val="21"/>
          <w:lang w:val="en-US" w:eastAsia="zh-CN"/>
        </w:rPr>
        <w:t xml:space="preserve"> et al., 2021)</w:t>
      </w:r>
      <w:r>
        <w:rPr>
          <w:rFonts w:hint="default" w:ascii="Times New Roman" w:hAnsi="Times New Roman" w:cs="Times New Roman"/>
          <w:sz w:val="21"/>
          <w:szCs w:val="21"/>
        </w:rPr>
        <w:t>. Additionally, practices such as using cover crops and crop residue management can further enhance SOC levels and improve overall soil</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quality</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Jarecki</w:t>
      </w:r>
      <w:r>
        <w:rPr>
          <w:rFonts w:hint="default" w:ascii="Times New Roman" w:hAnsi="Times New Roman" w:cs="Times New Roman"/>
          <w:sz w:val="21"/>
          <w:szCs w:val="21"/>
          <w:lang w:val="en-US" w:eastAsia="zh-CN"/>
        </w:rPr>
        <w:t xml:space="preserve"> and</w:t>
      </w:r>
      <w:r>
        <w:rPr>
          <w:rFonts w:hint="default" w:ascii="Times New Roman" w:hAnsi="Times New Roman" w:cs="Times New Roman"/>
          <w:sz w:val="21"/>
          <w:szCs w:val="21"/>
        </w:rPr>
        <w:t xml:space="preserve"> Lal, 2003</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Bai</w:t>
      </w:r>
      <w:r>
        <w:rPr>
          <w:rFonts w:hint="default" w:ascii="Times New Roman" w:hAnsi="Times New Roman" w:cs="Times New Roman"/>
          <w:sz w:val="21"/>
          <w:szCs w:val="21"/>
          <w:lang w:val="en-US" w:eastAsia="zh-CN"/>
        </w:rPr>
        <w:t xml:space="preserve"> et al., 2019)</w:t>
      </w:r>
      <w:r>
        <w:rPr>
          <w:rFonts w:hint="default" w:ascii="Times New Roman" w:hAnsi="Times New Roman" w:cs="Times New Roman"/>
          <w:sz w:val="21"/>
          <w:szCs w:val="21"/>
        </w:rPr>
        <w:t>. These integrated systems not only boost productivity but also contribute to climate change mitigation by sequestering carbon in both plant biomass and</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soil</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Shrestha</w:t>
      </w:r>
      <w:r>
        <w:rPr>
          <w:rFonts w:hint="default" w:ascii="Times New Roman" w:hAnsi="Times New Roman" w:cs="Times New Roman"/>
          <w:sz w:val="21"/>
          <w:szCs w:val="21"/>
          <w:lang w:val="en-US" w:eastAsia="zh-CN"/>
        </w:rPr>
        <w:t xml:space="preserve"> et al., 2018; </w:t>
      </w:r>
      <w:r>
        <w:rPr>
          <w:rFonts w:hint="default" w:ascii="Times New Roman" w:hAnsi="Times New Roman" w:cs="Times New Roman"/>
          <w:sz w:val="21"/>
          <w:szCs w:val="21"/>
        </w:rPr>
        <w:t>Sharma</w:t>
      </w:r>
      <w:r>
        <w:rPr>
          <w:rFonts w:hint="default" w:ascii="Times New Roman" w:hAnsi="Times New Roman" w:cs="Times New Roman"/>
          <w:sz w:val="21"/>
          <w:szCs w:val="21"/>
          <w:lang w:val="en-US" w:eastAsia="zh-CN"/>
        </w:rPr>
        <w:t xml:space="preserve"> et al., 2021)</w:t>
      </w:r>
      <w:r>
        <w:rPr>
          <w:rFonts w:hint="default" w:ascii="Times New Roman" w:hAnsi="Times New Roman" w:cs="Times New Roman"/>
          <w:sz w:val="21"/>
          <w:szCs w:val="21"/>
        </w:rPr>
        <w:t>.</w:t>
      </w:r>
    </w:p>
    <w:p>
      <w:pPr>
        <w:rPr>
          <w:rFonts w:hint="default" w:ascii="Times New Roman" w:hAnsi="Times New Roman" w:cs="Times New Roman"/>
          <w:sz w:val="21"/>
          <w:szCs w:val="21"/>
        </w:rPr>
      </w:pPr>
      <w:r>
        <w:rPr>
          <w:rFonts w:hint="default" w:ascii="Times New Roman" w:hAnsi="Times New Roman" w:cs="Times New Roman"/>
          <w:sz w:val="21"/>
          <w:szCs w:val="21"/>
        </w:rPr>
        <w:t>Implementing long-term land leasing policies can encourage green investments in sustainable agricultural practices. Such policies provide farmers with the security needed to invest in long-term soil health and carbon sequestration strategies. For example, the adoption of conservation tillage, cover crops, and biochar applications has been shown to significantly enhance SOC</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sequestration</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Bai</w:t>
      </w:r>
      <w:r>
        <w:rPr>
          <w:rFonts w:hint="default" w:ascii="Times New Roman" w:hAnsi="Times New Roman" w:cs="Times New Roman"/>
          <w:sz w:val="21"/>
          <w:szCs w:val="21"/>
          <w:lang w:val="en-US" w:eastAsia="zh-CN"/>
        </w:rPr>
        <w:t xml:space="preserve"> et al., 2019; </w:t>
      </w:r>
      <w:r>
        <w:rPr>
          <w:rFonts w:hint="default" w:ascii="Times New Roman" w:hAnsi="Times New Roman" w:cs="Times New Roman"/>
          <w:sz w:val="21"/>
          <w:szCs w:val="21"/>
        </w:rPr>
        <w:t>Tiefenbacher</w:t>
      </w:r>
      <w:r>
        <w:rPr>
          <w:rFonts w:hint="default" w:ascii="Times New Roman" w:hAnsi="Times New Roman" w:cs="Times New Roman"/>
          <w:sz w:val="21"/>
          <w:szCs w:val="21"/>
          <w:lang w:val="en-US" w:eastAsia="zh-CN"/>
        </w:rPr>
        <w:t xml:space="preserve"> et al., 2021)</w:t>
      </w:r>
      <w:r>
        <w:rPr>
          <w:rFonts w:hint="default" w:ascii="Times New Roman" w:hAnsi="Times New Roman" w:cs="Times New Roman"/>
          <w:sz w:val="21"/>
          <w:szCs w:val="21"/>
        </w:rPr>
        <w:t>. These practices require sustained efforts and investments, which are more feasible under long-term land tenure arrangements. Moreover, policies that support the conversion of marginal lands into restorative uses, such as agroforestry, can further enhance carbon sequestration and improve ecosystem</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services</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Lal, 2004</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Bhattacharyya</w:t>
      </w:r>
      <w:r>
        <w:rPr>
          <w:rFonts w:hint="default" w:ascii="Times New Roman" w:hAnsi="Times New Roman" w:cs="Times New Roman"/>
          <w:sz w:val="21"/>
          <w:szCs w:val="21"/>
          <w:lang w:val="en-US" w:eastAsia="zh-CN"/>
        </w:rPr>
        <w:t xml:space="preserve"> et al., 2021)</w:t>
      </w:r>
      <w:r>
        <w:rPr>
          <w:rFonts w:hint="default" w:ascii="Times New Roman" w:hAnsi="Times New Roman" w:cs="Times New Roman"/>
          <w:sz w:val="21"/>
          <w:szCs w:val="21"/>
        </w:rPr>
        <w:t>.</w:t>
      </w:r>
    </w:p>
    <w:p>
      <w:pPr>
        <w:rPr>
          <w:rFonts w:hint="default" w:ascii="Times New Roman" w:hAnsi="Times New Roman" w:cs="Times New Roman"/>
          <w:b/>
          <w:bCs/>
          <w:sz w:val="21"/>
          <w:szCs w:val="21"/>
        </w:rPr>
      </w:pPr>
      <w:r>
        <w:rPr>
          <w:rFonts w:hint="default" w:ascii="Times New Roman" w:hAnsi="Times New Roman" w:cs="Times New Roman"/>
          <w:b/>
          <w:bCs/>
          <w:sz w:val="21"/>
          <w:szCs w:val="21"/>
        </w:rPr>
        <w:t>3.2 Branding and market systems</w:t>
      </w:r>
    </w:p>
    <w:p>
      <w:pPr>
        <w:rPr>
          <w:rFonts w:hint="default" w:ascii="Times New Roman" w:hAnsi="Times New Roman" w:cs="Times New Roman"/>
          <w:sz w:val="21"/>
          <w:szCs w:val="21"/>
        </w:rPr>
      </w:pPr>
      <w:r>
        <w:rPr>
          <w:rFonts w:hint="default" w:ascii="Times New Roman" w:hAnsi="Times New Roman" w:cs="Times New Roman"/>
          <w:sz w:val="21"/>
          <w:szCs w:val="21"/>
        </w:rPr>
        <w:t>Promoting eco-labeled products and carbon-tagged certifications can drive consumer demand for sustainably produced agricultural goods. Eco-labels and carbon certifications provide transparency about the environmental impact of products, encouraging consumers to make more sustainable choices. For instance, products from agroforestry systems, which integrate trees with crops and livestock, can be marketed as carbon-neutral or even carbon-negative, given their high potential for carbon</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sequestration</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Jarecki</w:t>
      </w:r>
      <w:r>
        <w:rPr>
          <w:rFonts w:hint="default" w:ascii="Times New Roman" w:hAnsi="Times New Roman" w:cs="Times New Roman"/>
          <w:sz w:val="21"/>
          <w:szCs w:val="21"/>
          <w:lang w:val="en-US" w:eastAsia="zh-CN"/>
        </w:rPr>
        <w:t xml:space="preserve"> and</w:t>
      </w:r>
      <w:r>
        <w:rPr>
          <w:rFonts w:hint="default" w:ascii="Times New Roman" w:hAnsi="Times New Roman" w:cs="Times New Roman"/>
          <w:sz w:val="21"/>
          <w:szCs w:val="21"/>
        </w:rPr>
        <w:t xml:space="preserve"> Lal, 2003</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Sharma</w:t>
      </w:r>
      <w:r>
        <w:rPr>
          <w:rFonts w:hint="default" w:ascii="Times New Roman" w:hAnsi="Times New Roman" w:cs="Times New Roman"/>
          <w:sz w:val="21"/>
          <w:szCs w:val="21"/>
          <w:lang w:val="en-US" w:eastAsia="zh-CN"/>
        </w:rPr>
        <w:t xml:space="preserve"> et al., 2021)</w:t>
      </w:r>
      <w:r>
        <w:rPr>
          <w:rFonts w:hint="default" w:ascii="Times New Roman" w:hAnsi="Times New Roman" w:cs="Times New Roman"/>
          <w:sz w:val="21"/>
          <w:szCs w:val="21"/>
        </w:rPr>
        <w:t>. Such certifications can also incentivize farmers to adopt practices that enhance SOC and reduce GHG emissions, thereby contributing to climate change</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mitigation</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Shrestha</w:t>
      </w:r>
      <w:r>
        <w:rPr>
          <w:rFonts w:hint="default" w:ascii="Times New Roman" w:hAnsi="Times New Roman" w:cs="Times New Roman"/>
          <w:sz w:val="21"/>
          <w:szCs w:val="21"/>
          <w:lang w:val="en-US" w:eastAsia="zh-CN"/>
        </w:rPr>
        <w:t xml:space="preserve"> et al., 2018; </w:t>
      </w:r>
      <w:r>
        <w:rPr>
          <w:rFonts w:hint="default" w:ascii="Times New Roman" w:hAnsi="Times New Roman" w:cs="Times New Roman"/>
          <w:sz w:val="21"/>
          <w:szCs w:val="21"/>
        </w:rPr>
        <w:t>Bhattacharyya</w:t>
      </w:r>
      <w:r>
        <w:rPr>
          <w:rFonts w:hint="default" w:ascii="Times New Roman" w:hAnsi="Times New Roman" w:cs="Times New Roman"/>
          <w:sz w:val="21"/>
          <w:szCs w:val="21"/>
          <w:lang w:val="en-US" w:eastAsia="zh-CN"/>
        </w:rPr>
        <w:t xml:space="preserve"> et al., 2021)</w:t>
      </w:r>
      <w:r>
        <w:rPr>
          <w:rFonts w:hint="default" w:ascii="Times New Roman" w:hAnsi="Times New Roman" w:cs="Times New Roman"/>
          <w:sz w:val="21"/>
          <w:szCs w:val="21"/>
        </w:rPr>
        <w:t>.</w:t>
      </w:r>
    </w:p>
    <w:p>
      <w:pPr>
        <w:rPr>
          <w:rFonts w:hint="default" w:ascii="Times New Roman" w:hAnsi="Times New Roman" w:cs="Times New Roman"/>
          <w:sz w:val="21"/>
          <w:szCs w:val="21"/>
        </w:rPr>
      </w:pPr>
      <w:r>
        <w:rPr>
          <w:rFonts w:hint="default" w:ascii="Times New Roman" w:hAnsi="Times New Roman" w:cs="Times New Roman"/>
          <w:sz w:val="21"/>
          <w:szCs w:val="21"/>
        </w:rPr>
        <w:t>Strengthening supply chains for sustainable agricultural products is crucial for ensuring that eco-labeled and carbon-tagged products reach the market effectively. This involves improving the logistics, storage, and distribution networks to handle sustainably produced goods. For example, enhancing the supply chain for products from conservation tillage and cover crop systems can ensure that these goods maintain their eco-friendly attributes from farm to</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table</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Bai</w:t>
      </w:r>
      <w:r>
        <w:rPr>
          <w:rFonts w:hint="default" w:ascii="Times New Roman" w:hAnsi="Times New Roman" w:cs="Times New Roman"/>
          <w:sz w:val="21"/>
          <w:szCs w:val="21"/>
          <w:lang w:val="en-US" w:eastAsia="zh-CN"/>
        </w:rPr>
        <w:t xml:space="preserve"> et al., 2019; </w:t>
      </w:r>
      <w:r>
        <w:rPr>
          <w:rFonts w:hint="default" w:ascii="Times New Roman" w:hAnsi="Times New Roman" w:cs="Times New Roman"/>
          <w:sz w:val="21"/>
          <w:szCs w:val="21"/>
        </w:rPr>
        <w:t>Tiefenbacher</w:t>
      </w:r>
      <w:r>
        <w:rPr>
          <w:rFonts w:hint="default" w:ascii="Times New Roman" w:hAnsi="Times New Roman" w:cs="Times New Roman"/>
          <w:sz w:val="21"/>
          <w:szCs w:val="21"/>
          <w:lang w:val="en-US" w:eastAsia="zh-CN"/>
        </w:rPr>
        <w:t xml:space="preserve"> et al., 2021)</w:t>
      </w:r>
      <w:r>
        <w:rPr>
          <w:rFonts w:hint="default" w:ascii="Times New Roman" w:hAnsi="Times New Roman" w:cs="Times New Roman"/>
          <w:sz w:val="21"/>
          <w:szCs w:val="21"/>
        </w:rPr>
        <w:t>. Additionally, creating robust supply chains for agroforestry products can help in scaling up these sustainable practices, thereby increasing their impact on carbon sequestration and GHG emission</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reduction</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Jarecki</w:t>
      </w:r>
      <w:r>
        <w:rPr>
          <w:rFonts w:hint="default" w:ascii="Times New Roman" w:hAnsi="Times New Roman" w:cs="Times New Roman"/>
          <w:sz w:val="21"/>
          <w:szCs w:val="21"/>
          <w:lang w:val="en-US" w:eastAsia="zh-CN"/>
        </w:rPr>
        <w:t xml:space="preserve"> and</w:t>
      </w:r>
      <w:r>
        <w:rPr>
          <w:rFonts w:hint="default" w:ascii="Times New Roman" w:hAnsi="Times New Roman" w:cs="Times New Roman"/>
          <w:sz w:val="21"/>
          <w:szCs w:val="21"/>
        </w:rPr>
        <w:t xml:space="preserve"> Lal, 2003</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Sharma</w:t>
      </w:r>
      <w:r>
        <w:rPr>
          <w:rFonts w:hint="default" w:ascii="Times New Roman" w:hAnsi="Times New Roman" w:cs="Times New Roman"/>
          <w:sz w:val="21"/>
          <w:szCs w:val="21"/>
          <w:lang w:val="en-US" w:eastAsia="zh-CN"/>
        </w:rPr>
        <w:t xml:space="preserve"> et al., 2021)</w:t>
      </w:r>
      <w:r>
        <w:rPr>
          <w:rFonts w:hint="default" w:ascii="Times New Roman" w:hAnsi="Times New Roman" w:cs="Times New Roman"/>
          <w:sz w:val="21"/>
          <w:szCs w:val="21"/>
        </w:rPr>
        <w:t>.</w:t>
      </w:r>
    </w:p>
    <w:p>
      <w:pPr>
        <w:rPr>
          <w:rFonts w:hint="default" w:ascii="Times New Roman" w:hAnsi="Times New Roman" w:cs="Times New Roman"/>
          <w:b/>
          <w:bCs/>
          <w:sz w:val="24"/>
          <w:szCs w:val="24"/>
        </w:rPr>
      </w:pPr>
      <w:r>
        <w:rPr>
          <w:rFonts w:hint="default" w:ascii="Times New Roman" w:hAnsi="Times New Roman" w:cs="Times New Roman"/>
          <w:b/>
          <w:bCs/>
          <w:sz w:val="24"/>
          <w:szCs w:val="24"/>
        </w:rPr>
        <w:t>4 Enhancing Carbon Sequestration Potential</w:t>
      </w:r>
    </w:p>
    <w:p>
      <w:pPr>
        <w:rPr>
          <w:rFonts w:hint="default" w:ascii="Times New Roman" w:hAnsi="Times New Roman" w:cs="Times New Roman"/>
          <w:b/>
          <w:bCs/>
          <w:sz w:val="21"/>
          <w:szCs w:val="21"/>
        </w:rPr>
      </w:pPr>
      <w:r>
        <w:rPr>
          <w:rFonts w:hint="default" w:ascii="Times New Roman" w:hAnsi="Times New Roman" w:cs="Times New Roman"/>
          <w:b/>
          <w:bCs/>
          <w:sz w:val="21"/>
          <w:szCs w:val="21"/>
        </w:rPr>
        <w:t>4.1 Soil carbon storage</w:t>
      </w:r>
    </w:p>
    <w:p>
      <w:pPr>
        <w:rPr>
          <w:rFonts w:hint="default" w:ascii="Times New Roman" w:hAnsi="Times New Roman" w:cs="Times New Roman"/>
          <w:sz w:val="21"/>
          <w:szCs w:val="21"/>
        </w:rPr>
      </w:pPr>
      <w:r>
        <w:rPr>
          <w:rFonts w:hint="default" w:ascii="Times New Roman" w:hAnsi="Times New Roman" w:cs="Times New Roman"/>
          <w:sz w:val="21"/>
          <w:szCs w:val="21"/>
        </w:rPr>
        <w:t xml:space="preserve">The application of organic fertilizers, such as compost and manure, plays a significant role in enhancing soil organic carbon (SOC) storage. Organic fertilizers increase carbon inputs to the soil, which can sequester up to </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rPr>
        <w:t>714±404</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rPr>
        <w:t xml:space="preserve"> kg C ha</w:t>
      </w:r>
      <w:r>
        <w:rPr>
          <w:rFonts w:hint="eastAsia" w:ascii="Times New Roman" w:hAnsi="Times New Roman" w:cs="Times New Roman"/>
          <w:sz w:val="21"/>
          <w:szCs w:val="21"/>
          <w:vertAlign w:val="superscript"/>
          <w:lang w:val="en-US" w:eastAsia="zh-CN"/>
        </w:rPr>
        <w:t>-1</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y</w:t>
      </w:r>
      <w:r>
        <w:rPr>
          <w:rFonts w:hint="eastAsia" w:ascii="Times New Roman" w:hAnsi="Times New Roman" w:cs="Times New Roman"/>
          <w:sz w:val="21"/>
          <w:szCs w:val="21"/>
          <w:vertAlign w:val="superscript"/>
          <w:lang w:val="en-US" w:eastAsia="zh-CN"/>
        </w:rPr>
        <w:t>-1</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Tiefenbacher</w:t>
      </w:r>
      <w:r>
        <w:rPr>
          <w:rFonts w:hint="default" w:ascii="Times New Roman" w:hAnsi="Times New Roman" w:cs="Times New Roman"/>
          <w:sz w:val="21"/>
          <w:szCs w:val="21"/>
          <w:lang w:val="en-US" w:eastAsia="zh-CN"/>
        </w:rPr>
        <w:t xml:space="preserve"> et al., 2021)</w:t>
      </w:r>
      <w:r>
        <w:rPr>
          <w:rFonts w:hint="default" w:ascii="Times New Roman" w:hAnsi="Times New Roman" w:cs="Times New Roman"/>
          <w:sz w:val="21"/>
          <w:szCs w:val="21"/>
        </w:rPr>
        <w:t>. The use of biochar, a form of organic amendment, has been shown to increase SOC content by 39% on average, making it one of the most effective methods for SOC</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enhancement</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Bai</w:t>
      </w:r>
      <w:r>
        <w:rPr>
          <w:rFonts w:hint="default" w:ascii="Times New Roman" w:hAnsi="Times New Roman" w:cs="Times New Roman"/>
          <w:sz w:val="21"/>
          <w:szCs w:val="21"/>
          <w:lang w:val="en-US" w:eastAsia="zh-CN"/>
        </w:rPr>
        <w:t xml:space="preserve"> et al., 2019)</w:t>
      </w:r>
      <w:r>
        <w:rPr>
          <w:rFonts w:hint="default" w:ascii="Times New Roman" w:hAnsi="Times New Roman" w:cs="Times New Roman"/>
          <w:sz w:val="21"/>
          <w:szCs w:val="21"/>
        </w:rPr>
        <w:t>. Additionally, organic amendments like compost emit less CO</w:t>
      </w:r>
      <w:r>
        <w:rPr>
          <w:rFonts w:hint="eastAsia" w:ascii="Times New Roman" w:hAnsi="Times New Roman" w:cs="Times New Roman"/>
          <w:sz w:val="21"/>
          <w:szCs w:val="21"/>
          <w:vertAlign w:val="subscript"/>
          <w:lang w:val="en-US" w:eastAsia="zh-CN"/>
        </w:rPr>
        <w:t>2</w:t>
      </w:r>
      <w:r>
        <w:rPr>
          <w:rFonts w:hint="default" w:ascii="Times New Roman" w:hAnsi="Times New Roman" w:cs="Times New Roman"/>
          <w:sz w:val="21"/>
          <w:szCs w:val="21"/>
        </w:rPr>
        <w:t xml:space="preserve"> and N</w:t>
      </w:r>
      <w:r>
        <w:rPr>
          <w:rFonts w:hint="eastAsia" w:ascii="Times New Roman" w:hAnsi="Times New Roman" w:cs="Times New Roman"/>
          <w:sz w:val="21"/>
          <w:szCs w:val="21"/>
          <w:vertAlign w:val="subscript"/>
          <w:lang w:val="en-US" w:eastAsia="zh-CN"/>
        </w:rPr>
        <w:t>2</w:t>
      </w:r>
      <w:r>
        <w:rPr>
          <w:rFonts w:hint="default" w:ascii="Times New Roman" w:hAnsi="Times New Roman" w:cs="Times New Roman"/>
          <w:sz w:val="21"/>
          <w:szCs w:val="21"/>
        </w:rPr>
        <w:t>O compared to raw manure, making them more environmentally friendly</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options</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Shrestha</w:t>
      </w:r>
      <w:r>
        <w:rPr>
          <w:rFonts w:hint="default" w:ascii="Times New Roman" w:hAnsi="Times New Roman" w:cs="Times New Roman"/>
          <w:sz w:val="21"/>
          <w:szCs w:val="21"/>
          <w:lang w:val="en-US" w:eastAsia="zh-CN"/>
        </w:rPr>
        <w:t xml:space="preserve"> et al., 2018)</w:t>
      </w:r>
      <w:r>
        <w:rPr>
          <w:rFonts w:hint="default" w:ascii="Times New Roman" w:hAnsi="Times New Roman" w:cs="Times New Roman"/>
          <w:sz w:val="21"/>
          <w:szCs w:val="21"/>
        </w:rPr>
        <w:t>.</w:t>
      </w:r>
    </w:p>
    <w:p>
      <w:pPr>
        <w:rPr>
          <w:rFonts w:hint="default" w:ascii="Times New Roman" w:hAnsi="Times New Roman" w:cs="Times New Roman"/>
          <w:sz w:val="21"/>
          <w:szCs w:val="21"/>
        </w:rPr>
      </w:pPr>
      <w:r>
        <w:rPr>
          <w:rFonts w:hint="default" w:ascii="Times New Roman" w:hAnsi="Times New Roman" w:cs="Times New Roman"/>
          <w:sz w:val="21"/>
          <w:szCs w:val="21"/>
        </w:rPr>
        <w:t>Conservation tillage practices, including no-tillage and reduced tillage, are effective in reducing soil erosion and maintaining soil structure, which in turn helps in SOC sequestration. These practices have been found to increase SOC by 5% on</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average</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Bai</w:t>
      </w:r>
      <w:r>
        <w:rPr>
          <w:rFonts w:hint="default" w:ascii="Times New Roman" w:hAnsi="Times New Roman" w:cs="Times New Roman"/>
          <w:sz w:val="21"/>
          <w:szCs w:val="21"/>
          <w:lang w:val="en-US" w:eastAsia="zh-CN"/>
        </w:rPr>
        <w:t xml:space="preserve"> et al., 2019)</w:t>
      </w:r>
      <w:r>
        <w:rPr>
          <w:rFonts w:hint="default" w:ascii="Times New Roman" w:hAnsi="Times New Roman" w:cs="Times New Roman"/>
          <w:sz w:val="21"/>
          <w:szCs w:val="21"/>
        </w:rPr>
        <w:t>. However, the impact of no-tillage is often limited to the topsoil (0</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rPr>
        <w:t>10 cm), and its overall effectiveness can vary based on local environmental</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conditions</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Bhattacharyya</w:t>
      </w:r>
      <w:r>
        <w:rPr>
          <w:rFonts w:hint="default" w:ascii="Times New Roman" w:hAnsi="Times New Roman" w:cs="Times New Roman"/>
          <w:sz w:val="21"/>
          <w:szCs w:val="21"/>
          <w:lang w:val="en-US" w:eastAsia="zh-CN"/>
        </w:rPr>
        <w:t xml:space="preserve"> et al., 2021)</w:t>
      </w:r>
      <w:r>
        <w:rPr>
          <w:rFonts w:hint="default" w:ascii="Times New Roman" w:hAnsi="Times New Roman" w:cs="Times New Roman"/>
          <w:sz w:val="21"/>
          <w:szCs w:val="21"/>
        </w:rPr>
        <w:t>. Despite these limitations, conservation tillage remains a viable strategy for enhancing soil carbon</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storage</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Jarecki</w:t>
      </w:r>
      <w:r>
        <w:rPr>
          <w:rFonts w:hint="default" w:ascii="Times New Roman" w:hAnsi="Times New Roman" w:cs="Times New Roman"/>
          <w:sz w:val="21"/>
          <w:szCs w:val="21"/>
          <w:lang w:val="en-US" w:eastAsia="zh-CN"/>
        </w:rPr>
        <w:t xml:space="preserve"> and</w:t>
      </w:r>
      <w:r>
        <w:rPr>
          <w:rFonts w:hint="default" w:ascii="Times New Roman" w:hAnsi="Times New Roman" w:cs="Times New Roman"/>
          <w:sz w:val="21"/>
          <w:szCs w:val="21"/>
        </w:rPr>
        <w:t xml:space="preserve"> Lal, 2003</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rPr>
        <w:t>.</w:t>
      </w:r>
    </w:p>
    <w:p>
      <w:pPr>
        <w:rPr>
          <w:rFonts w:hint="default" w:ascii="Times New Roman" w:hAnsi="Times New Roman" w:cs="Times New Roman"/>
          <w:sz w:val="21"/>
          <w:szCs w:val="21"/>
        </w:rPr>
      </w:pPr>
      <w:r>
        <w:rPr>
          <w:rFonts w:hint="default" w:ascii="Times New Roman" w:hAnsi="Times New Roman" w:cs="Times New Roman"/>
          <w:sz w:val="21"/>
          <w:szCs w:val="21"/>
        </w:rPr>
        <w:t>Crop rotation practices, including the use of cover crops and ley farming, contribute to SOC sequestration by increasing the diversity of organic matter inputs to the soil. These practices help in maintaining soil fertility and structure, which are crucial for long-term carbon</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storage</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Jarecki</w:t>
      </w:r>
      <w:r>
        <w:rPr>
          <w:rFonts w:hint="default" w:ascii="Times New Roman" w:hAnsi="Times New Roman" w:cs="Times New Roman"/>
          <w:sz w:val="21"/>
          <w:szCs w:val="21"/>
          <w:lang w:val="en-US" w:eastAsia="zh-CN"/>
        </w:rPr>
        <w:t xml:space="preserve"> and</w:t>
      </w:r>
      <w:r>
        <w:rPr>
          <w:rFonts w:hint="default" w:ascii="Times New Roman" w:hAnsi="Times New Roman" w:cs="Times New Roman"/>
          <w:sz w:val="21"/>
          <w:szCs w:val="21"/>
        </w:rPr>
        <w:t xml:space="preserve"> Lal, 2003</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rPr>
        <w:t>. Cover crops alone have been shown to increase SOC content by</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6%</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Bai</w:t>
      </w:r>
      <w:r>
        <w:rPr>
          <w:rFonts w:hint="default" w:ascii="Times New Roman" w:hAnsi="Times New Roman" w:cs="Times New Roman"/>
          <w:sz w:val="21"/>
          <w:szCs w:val="21"/>
          <w:lang w:val="en-US" w:eastAsia="zh-CN"/>
        </w:rPr>
        <w:t xml:space="preserve"> et al., 2019)</w:t>
      </w:r>
      <w:r>
        <w:rPr>
          <w:rFonts w:hint="default" w:ascii="Times New Roman" w:hAnsi="Times New Roman" w:cs="Times New Roman"/>
          <w:sz w:val="21"/>
          <w:szCs w:val="21"/>
        </w:rPr>
        <w:t>. Additionally, incorporating forages and reducing bare fallow periods can further enhance SOC</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levels</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Hutchinson</w:t>
      </w:r>
      <w:r>
        <w:rPr>
          <w:rFonts w:hint="default" w:ascii="Times New Roman" w:hAnsi="Times New Roman" w:cs="Times New Roman"/>
          <w:sz w:val="21"/>
          <w:szCs w:val="21"/>
          <w:lang w:val="en-US" w:eastAsia="zh-CN"/>
        </w:rPr>
        <w:t xml:space="preserve"> et al., 2007)</w:t>
      </w:r>
      <w:r>
        <w:rPr>
          <w:rFonts w:hint="default" w:ascii="Times New Roman" w:hAnsi="Times New Roman" w:cs="Times New Roman"/>
          <w:sz w:val="21"/>
          <w:szCs w:val="21"/>
        </w:rPr>
        <w:t>.</w:t>
      </w:r>
    </w:p>
    <w:p>
      <w:pPr>
        <w:rPr>
          <w:rFonts w:hint="default" w:ascii="Times New Roman" w:hAnsi="Times New Roman" w:cs="Times New Roman"/>
          <w:b/>
          <w:bCs/>
          <w:sz w:val="21"/>
          <w:szCs w:val="21"/>
        </w:rPr>
      </w:pPr>
      <w:r>
        <w:rPr>
          <w:rFonts w:hint="default" w:ascii="Times New Roman" w:hAnsi="Times New Roman" w:cs="Times New Roman"/>
          <w:b/>
          <w:bCs/>
          <w:sz w:val="21"/>
          <w:szCs w:val="21"/>
        </w:rPr>
        <w:t>4.2 Ecosystem services</w:t>
      </w:r>
    </w:p>
    <w:p>
      <w:pPr>
        <w:rPr>
          <w:rFonts w:hint="default" w:ascii="Times New Roman" w:hAnsi="Times New Roman" w:cs="Times New Roman"/>
          <w:sz w:val="21"/>
          <w:szCs w:val="21"/>
        </w:rPr>
      </w:pPr>
      <w:r>
        <w:rPr>
          <w:rFonts w:hint="default" w:ascii="Times New Roman" w:hAnsi="Times New Roman" w:cs="Times New Roman"/>
          <w:sz w:val="21"/>
          <w:szCs w:val="21"/>
        </w:rPr>
        <w:t>Agroforestry systems, which integrate trees with crops and/or livestock, are highly effective in sequestering carbon both above and below ground. These systems can sequester between 0.09 and 7.29 t C ha</w:t>
      </w:r>
      <w:r>
        <w:rPr>
          <w:rFonts w:hint="eastAsia" w:ascii="Times New Roman" w:hAnsi="Times New Roman" w:cs="Times New Roman"/>
          <w:sz w:val="21"/>
          <w:szCs w:val="21"/>
          <w:vertAlign w:val="superscript"/>
          <w:lang w:val="en-US" w:eastAsia="zh-CN"/>
        </w:rPr>
        <w:t>-1</w:t>
      </w:r>
      <w:r>
        <w:rPr>
          <w:rFonts w:hint="default" w:ascii="Times New Roman" w:hAnsi="Times New Roman" w:cs="Times New Roman"/>
          <w:sz w:val="21"/>
          <w:szCs w:val="21"/>
        </w:rPr>
        <w:t xml:space="preserve"> a</w:t>
      </w:r>
      <w:r>
        <w:rPr>
          <w:rFonts w:hint="eastAsia" w:ascii="Times New Roman" w:hAnsi="Times New Roman" w:cs="Times New Roman"/>
          <w:sz w:val="21"/>
          <w:szCs w:val="21"/>
          <w:vertAlign w:val="superscript"/>
          <w:lang w:val="en-US" w:eastAsia="zh-CN"/>
        </w:rPr>
        <w:t>-1</w:t>
      </w:r>
      <w:r>
        <w:rPr>
          <w:rFonts w:hint="default" w:ascii="Times New Roman" w:hAnsi="Times New Roman" w:cs="Times New Roman"/>
          <w:sz w:val="21"/>
          <w:szCs w:val="21"/>
        </w:rPr>
        <w:t>, depending on the specific practices</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implemented</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Kay</w:t>
      </w:r>
      <w:r>
        <w:rPr>
          <w:rFonts w:hint="default" w:ascii="Times New Roman" w:hAnsi="Times New Roman" w:cs="Times New Roman"/>
          <w:sz w:val="21"/>
          <w:szCs w:val="21"/>
          <w:lang w:val="en-US" w:eastAsia="zh-CN"/>
        </w:rPr>
        <w:t xml:space="preserve"> et al., 2019)</w:t>
      </w:r>
      <w:r>
        <w:rPr>
          <w:rFonts w:hint="default" w:ascii="Times New Roman" w:hAnsi="Times New Roman" w:cs="Times New Roman"/>
          <w:sz w:val="21"/>
          <w:szCs w:val="21"/>
        </w:rPr>
        <w:t>. Agroforestry not only enhances carbon sequestration but also provides additional ecosystem services such as biodiversity enhancement and soil erosion</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control</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Nair</w:t>
      </w:r>
      <w:r>
        <w:rPr>
          <w:rFonts w:hint="default" w:ascii="Times New Roman" w:hAnsi="Times New Roman" w:cs="Times New Roman"/>
          <w:sz w:val="21"/>
          <w:szCs w:val="21"/>
          <w:lang w:val="en-US" w:eastAsia="zh-CN"/>
        </w:rPr>
        <w:t xml:space="preserve"> et al., 2009; </w:t>
      </w:r>
      <w:r>
        <w:rPr>
          <w:rFonts w:hint="default" w:ascii="Times New Roman" w:hAnsi="Times New Roman" w:cs="Times New Roman"/>
          <w:sz w:val="21"/>
          <w:szCs w:val="21"/>
        </w:rPr>
        <w:t>Sharma</w:t>
      </w:r>
      <w:r>
        <w:rPr>
          <w:rFonts w:hint="default" w:ascii="Times New Roman" w:hAnsi="Times New Roman" w:cs="Times New Roman"/>
          <w:sz w:val="21"/>
          <w:szCs w:val="21"/>
          <w:lang w:val="en-US" w:eastAsia="zh-CN"/>
        </w:rPr>
        <w:t xml:space="preserve"> et al., 2021)</w:t>
      </w:r>
      <w:r>
        <w:rPr>
          <w:rFonts w:hint="default" w:ascii="Times New Roman" w:hAnsi="Times New Roman" w:cs="Times New Roman"/>
          <w:sz w:val="21"/>
          <w:szCs w:val="21"/>
        </w:rPr>
        <w:t>. The integration of trees in agricultural landscapes can significantly contribute to carbon sequestration and environmental</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sustainability</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Bhattacharyya</w:t>
      </w:r>
      <w:r>
        <w:rPr>
          <w:rFonts w:hint="default" w:ascii="Times New Roman" w:hAnsi="Times New Roman" w:cs="Times New Roman"/>
          <w:sz w:val="21"/>
          <w:szCs w:val="21"/>
          <w:lang w:val="en-US" w:eastAsia="zh-CN"/>
        </w:rPr>
        <w:t xml:space="preserve"> et al., 2021)</w:t>
      </w:r>
      <w:r>
        <w:rPr>
          <w:rFonts w:hint="default" w:ascii="Times New Roman" w:hAnsi="Times New Roman" w:cs="Times New Roman"/>
          <w:sz w:val="21"/>
          <w:szCs w:val="21"/>
        </w:rPr>
        <w:t>.</w:t>
      </w:r>
    </w:p>
    <w:p>
      <w:pPr>
        <w:rPr>
          <w:rFonts w:hint="default" w:ascii="Times New Roman" w:hAnsi="Times New Roman" w:cs="Times New Roman"/>
          <w:sz w:val="21"/>
          <w:szCs w:val="21"/>
        </w:rPr>
      </w:pPr>
      <w:r>
        <w:rPr>
          <w:rFonts w:hint="default" w:ascii="Times New Roman" w:hAnsi="Times New Roman" w:cs="Times New Roman"/>
          <w:sz w:val="21"/>
          <w:szCs w:val="21"/>
        </w:rPr>
        <w:t>Cover cropping involves planting crops that cover the soil surface, thereby reducing soil erosion and increasing organic matter inputs. This practice has been shown to increase SOC content by 6% on</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average</w:t>
      </w:r>
      <w:r>
        <w:rPr>
          <w:rFonts w:hint="default" w:ascii="Times New Roman" w:hAnsi="Times New Roman" w:cs="Times New Roman"/>
          <w:sz w:val="21"/>
          <w:szCs w:val="21"/>
          <w:lang w:val="en-US" w:eastAsia="zh-CN"/>
        </w:rPr>
        <w:t xml:space="preserve"> (Bai et al., 2019)</w:t>
      </w:r>
      <w:r>
        <w:rPr>
          <w:rFonts w:hint="default" w:ascii="Times New Roman" w:hAnsi="Times New Roman" w:cs="Times New Roman"/>
          <w:sz w:val="21"/>
          <w:szCs w:val="21"/>
        </w:rPr>
        <w:t>. Cover crops also improve soil health by enhancing nutrient cycling and water retention, which are essential for long-term carbon</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storage</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Jarecki</w:t>
      </w:r>
      <w:r>
        <w:rPr>
          <w:rFonts w:hint="default" w:ascii="Times New Roman" w:hAnsi="Times New Roman" w:cs="Times New Roman"/>
          <w:sz w:val="21"/>
          <w:szCs w:val="21"/>
          <w:lang w:val="en-US" w:eastAsia="zh-CN"/>
        </w:rPr>
        <w:t xml:space="preserve"> and</w:t>
      </w:r>
      <w:r>
        <w:rPr>
          <w:rFonts w:hint="default" w:ascii="Times New Roman" w:hAnsi="Times New Roman" w:cs="Times New Roman"/>
          <w:sz w:val="21"/>
          <w:szCs w:val="21"/>
        </w:rPr>
        <w:t xml:space="preserve"> Lal, 2003</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rPr>
        <w:t>. The use of grasses and cereals as cover crops has been particularly effective in sequestering carbon in</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soils</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Bhattacharyya</w:t>
      </w:r>
      <w:r>
        <w:rPr>
          <w:rFonts w:hint="default" w:ascii="Times New Roman" w:hAnsi="Times New Roman" w:cs="Times New Roman"/>
          <w:sz w:val="21"/>
          <w:szCs w:val="21"/>
          <w:lang w:val="en-US" w:eastAsia="zh-CN"/>
        </w:rPr>
        <w:t xml:space="preserve"> et al., 2021)</w:t>
      </w:r>
      <w:r>
        <w:rPr>
          <w:rFonts w:hint="default" w:ascii="Times New Roman" w:hAnsi="Times New Roman" w:cs="Times New Roman"/>
          <w:sz w:val="21"/>
          <w:szCs w:val="21"/>
        </w:rPr>
        <w:t>.</w:t>
      </w:r>
    </w:p>
    <w:p>
      <w:pPr>
        <w:rPr>
          <w:rFonts w:hint="default" w:ascii="Times New Roman" w:hAnsi="Times New Roman" w:cs="Times New Roman"/>
          <w:b/>
          <w:bCs/>
          <w:sz w:val="21"/>
          <w:szCs w:val="21"/>
        </w:rPr>
      </w:pPr>
      <w:r>
        <w:rPr>
          <w:rFonts w:hint="default" w:ascii="Times New Roman" w:hAnsi="Times New Roman" w:cs="Times New Roman"/>
          <w:b/>
          <w:bCs/>
          <w:sz w:val="21"/>
          <w:szCs w:val="21"/>
        </w:rPr>
        <w:t>4.3 Carbon sequestration technologies</w:t>
      </w:r>
    </w:p>
    <w:p>
      <w:pPr>
        <w:rPr>
          <w:rFonts w:hint="default" w:ascii="Times New Roman" w:hAnsi="Times New Roman" w:cs="Times New Roman"/>
          <w:sz w:val="21"/>
          <w:szCs w:val="21"/>
        </w:rPr>
      </w:pPr>
      <w:r>
        <w:rPr>
          <w:rFonts w:hint="default" w:ascii="Times New Roman" w:hAnsi="Times New Roman" w:cs="Times New Roman"/>
          <w:sz w:val="21"/>
          <w:szCs w:val="21"/>
        </w:rPr>
        <w:t>Innovations in soil carbon monitoring technologies are crucial for accurately assessing SOC levels and the effectiveness of various carbon sequestration practices. Advanced soil sensors and remote sensing technologies enable precise measurement of SOC changes over time, providing valuable data for optimizing carbon sequestration</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strategies</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Hutchinson</w:t>
      </w:r>
      <w:r>
        <w:rPr>
          <w:rFonts w:hint="default" w:ascii="Times New Roman" w:hAnsi="Times New Roman" w:cs="Times New Roman"/>
          <w:sz w:val="21"/>
          <w:szCs w:val="21"/>
          <w:lang w:val="en-US" w:eastAsia="zh-CN"/>
        </w:rPr>
        <w:t xml:space="preserve"> et al., 2007)</w:t>
      </w:r>
      <w:r>
        <w:rPr>
          <w:rFonts w:hint="default" w:ascii="Times New Roman" w:hAnsi="Times New Roman" w:cs="Times New Roman"/>
          <w:sz w:val="21"/>
          <w:szCs w:val="21"/>
        </w:rPr>
        <w:t>. These technologies help in identifying the most effective practices for different soil types and climatic conditions, thereby enhancing the overall carbon sequestration</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potential</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Lal, 2004</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rPr>
        <w:t>.</w:t>
      </w:r>
    </w:p>
    <w:p>
      <w:pPr>
        <w:rPr>
          <w:rFonts w:hint="default" w:ascii="Times New Roman" w:hAnsi="Times New Roman" w:cs="Times New Roman"/>
          <w:sz w:val="21"/>
          <w:szCs w:val="21"/>
        </w:rPr>
      </w:pPr>
      <w:r>
        <w:rPr>
          <w:rFonts w:hint="default" w:ascii="Times New Roman" w:hAnsi="Times New Roman" w:cs="Times New Roman"/>
          <w:sz w:val="21"/>
          <w:szCs w:val="21"/>
        </w:rPr>
        <w:t>Data analysis techniques, including machine learning and statistical modeling, are essential for understanding the complex interactions between soil management practices and SOC sequestration. These techniques allow for the integration of large datasets from various sources, enabling more accurate predictions of SOC changes and the identification of best management</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practices</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Hutchinson</w:t>
      </w:r>
      <w:r>
        <w:rPr>
          <w:rFonts w:hint="default" w:ascii="Times New Roman" w:hAnsi="Times New Roman" w:cs="Times New Roman"/>
          <w:sz w:val="21"/>
          <w:szCs w:val="21"/>
          <w:lang w:val="en-US" w:eastAsia="zh-CN"/>
        </w:rPr>
        <w:t xml:space="preserve"> et al., 2007)</w:t>
      </w:r>
      <w:r>
        <w:rPr>
          <w:rFonts w:hint="default" w:ascii="Times New Roman" w:hAnsi="Times New Roman" w:cs="Times New Roman"/>
          <w:sz w:val="21"/>
          <w:szCs w:val="21"/>
        </w:rPr>
        <w:t>. By leveraging data analysis, researchers can develop more effective strategies for enhancing carbon storage in agricultural</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soils</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Lal, 2004</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rPr>
        <w:t>.</w:t>
      </w:r>
    </w:p>
    <w:p>
      <w:pPr>
        <w:rPr>
          <w:rFonts w:hint="default" w:ascii="Times New Roman" w:hAnsi="Times New Roman" w:cs="Times New Roman"/>
          <w:b/>
          <w:bCs/>
          <w:sz w:val="24"/>
          <w:szCs w:val="24"/>
        </w:rPr>
      </w:pPr>
      <w:r>
        <w:rPr>
          <w:rFonts w:hint="default" w:ascii="Times New Roman" w:hAnsi="Times New Roman" w:cs="Times New Roman"/>
          <w:b/>
          <w:bCs/>
          <w:sz w:val="24"/>
          <w:szCs w:val="24"/>
        </w:rPr>
        <w:t>5 Integrating Renewable Energy in Agriculture</w:t>
      </w:r>
    </w:p>
    <w:p>
      <w:pPr>
        <w:rPr>
          <w:rFonts w:hint="default" w:ascii="Times New Roman" w:hAnsi="Times New Roman" w:cs="Times New Roman"/>
          <w:b/>
          <w:bCs/>
          <w:sz w:val="21"/>
          <w:szCs w:val="21"/>
        </w:rPr>
      </w:pPr>
      <w:r>
        <w:rPr>
          <w:rFonts w:hint="default" w:ascii="Times New Roman" w:hAnsi="Times New Roman" w:cs="Times New Roman"/>
          <w:b/>
          <w:bCs/>
          <w:sz w:val="21"/>
          <w:szCs w:val="21"/>
        </w:rPr>
        <w:t>5.1 Energy transition in farming practices</w:t>
      </w:r>
    </w:p>
    <w:p>
      <w:pPr>
        <w:rPr>
          <w:rFonts w:hint="default" w:ascii="Times New Roman" w:hAnsi="Times New Roman" w:cs="Times New Roman"/>
          <w:sz w:val="21"/>
          <w:szCs w:val="21"/>
        </w:rPr>
      </w:pPr>
      <w:r>
        <w:rPr>
          <w:rFonts w:hint="default" w:ascii="Times New Roman" w:hAnsi="Times New Roman" w:cs="Times New Roman"/>
          <w:sz w:val="21"/>
          <w:szCs w:val="21"/>
        </w:rPr>
        <w:t>Biogas energy, derived from the anaerobic digestion (AD) of organic waste, is a promising renewable energy source for agriculture. AD processes convert agricultural residues, livestock waste, and other organic materials into biogas, which can be used for heat and power generation</w:t>
      </w:r>
      <w:r>
        <w:rPr>
          <w:rFonts w:hint="default" w:ascii="Times New Roman" w:hAnsi="Times New Roman" w:cs="Times New Roman"/>
          <w:sz w:val="21"/>
          <w:szCs w:val="21"/>
          <w:lang w:val="en-US" w:eastAsia="zh-CN"/>
        </w:rPr>
        <w:t xml:space="preserve"> (Figure 2)</w:t>
      </w:r>
      <w:r>
        <w:rPr>
          <w:rFonts w:hint="default" w:ascii="Times New Roman" w:hAnsi="Times New Roman" w:cs="Times New Roman"/>
          <w:sz w:val="21"/>
          <w:szCs w:val="21"/>
        </w:rPr>
        <w:t>. This not only reduces greenhouse gas emissions but also provides a sustainable energy source for</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farms</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Purdy</w:t>
      </w:r>
      <w:r>
        <w:rPr>
          <w:rFonts w:hint="default" w:ascii="Times New Roman" w:hAnsi="Times New Roman" w:cs="Times New Roman"/>
          <w:sz w:val="21"/>
          <w:szCs w:val="21"/>
          <w:lang w:val="en-US" w:eastAsia="zh-CN"/>
        </w:rPr>
        <w:t xml:space="preserve"> et al., 2018; </w:t>
      </w:r>
      <w:r>
        <w:rPr>
          <w:rFonts w:hint="default" w:ascii="Times New Roman" w:hAnsi="Times New Roman" w:cs="Times New Roman"/>
          <w:sz w:val="21"/>
          <w:szCs w:val="21"/>
        </w:rPr>
        <w:t>Tamburini</w:t>
      </w:r>
      <w:r>
        <w:rPr>
          <w:rFonts w:hint="default" w:ascii="Times New Roman" w:hAnsi="Times New Roman" w:cs="Times New Roman"/>
          <w:sz w:val="21"/>
          <w:szCs w:val="21"/>
          <w:lang w:val="en-US" w:eastAsia="zh-CN"/>
        </w:rPr>
        <w:t xml:space="preserve"> et al., 2020; </w:t>
      </w:r>
      <w:r>
        <w:rPr>
          <w:rFonts w:hint="default" w:ascii="Times New Roman" w:hAnsi="Times New Roman" w:cs="Times New Roman"/>
          <w:sz w:val="21"/>
          <w:szCs w:val="21"/>
        </w:rPr>
        <w:t>Xu</w:t>
      </w:r>
      <w:r>
        <w:rPr>
          <w:rFonts w:hint="default" w:ascii="Times New Roman" w:hAnsi="Times New Roman" w:cs="Times New Roman"/>
          <w:sz w:val="21"/>
          <w:szCs w:val="21"/>
          <w:lang w:val="en-US" w:eastAsia="zh-CN"/>
        </w:rPr>
        <w:t xml:space="preserve"> et al., 2021)</w:t>
      </w:r>
      <w:r>
        <w:rPr>
          <w:rFonts w:hint="default" w:ascii="Times New Roman" w:hAnsi="Times New Roman" w:cs="Times New Roman"/>
          <w:sz w:val="21"/>
          <w:szCs w:val="21"/>
        </w:rPr>
        <w:t>. The Biogasdoneright™ system, for instance, integrates biogas production with sustainable agricultural practices, enhancing both energy recovery and carbon</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sequestration</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Dale</w:t>
      </w:r>
      <w:r>
        <w:rPr>
          <w:rFonts w:hint="default" w:ascii="Times New Roman" w:hAnsi="Times New Roman" w:cs="Times New Roman"/>
          <w:sz w:val="21"/>
          <w:szCs w:val="21"/>
          <w:lang w:val="en-US" w:eastAsia="zh-CN"/>
        </w:rPr>
        <w:t xml:space="preserve"> et al., 2020; </w:t>
      </w:r>
      <w:r>
        <w:rPr>
          <w:rFonts w:hint="default" w:ascii="Times New Roman" w:hAnsi="Times New Roman" w:cs="Times New Roman"/>
          <w:sz w:val="21"/>
          <w:szCs w:val="21"/>
        </w:rPr>
        <w:t>Magnolo</w:t>
      </w:r>
      <w:r>
        <w:rPr>
          <w:rFonts w:hint="default" w:ascii="Times New Roman" w:hAnsi="Times New Roman" w:cs="Times New Roman"/>
          <w:sz w:val="21"/>
          <w:szCs w:val="21"/>
          <w:lang w:val="en-US" w:eastAsia="zh-CN"/>
        </w:rPr>
        <w:t xml:space="preserve"> et al., 2021)</w:t>
      </w:r>
      <w:r>
        <w:rPr>
          <w:rFonts w:hint="default" w:ascii="Times New Roman" w:hAnsi="Times New Roman" w:cs="Times New Roman"/>
          <w:sz w:val="21"/>
          <w:szCs w:val="21"/>
        </w:rPr>
        <w:t>.</w:t>
      </w:r>
    </w:p>
    <w:p>
      <w:pPr>
        <w:rPr>
          <w:rFonts w:hint="default" w:ascii="Times New Roman" w:hAnsi="Times New Roman" w:cs="Times New Roman"/>
          <w:sz w:val="21"/>
          <w:szCs w:val="21"/>
        </w:rPr>
      </w:pPr>
      <w:r>
        <w:rPr>
          <w:rFonts w:hint="default" w:ascii="Times New Roman" w:hAnsi="Times New Roman" w:cs="Times New Roman"/>
          <w:sz w:val="21"/>
          <w:szCs w:val="21"/>
        </w:rPr>
        <w:t>Solar energy integration in agriculture involves the use of photovoltaic panels to harness solar power for various farming operations. This renewable energy source can be used to power irrigation systems, greenhouses, and other farm equipment, reducing reliance on fossil fuels and lowering carbon footprints. Solar energy systems are particularly beneficial in regions with high solar irradiance, providing a reliable and sustainable energy source for agricultural</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activities</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O'Keeffe</w:t>
      </w:r>
      <w:r>
        <w:rPr>
          <w:rFonts w:hint="default" w:ascii="Times New Roman" w:hAnsi="Times New Roman" w:cs="Times New Roman"/>
          <w:sz w:val="21"/>
          <w:szCs w:val="21"/>
          <w:lang w:val="en-US" w:eastAsia="zh-CN"/>
        </w:rPr>
        <w:t xml:space="preserve"> and</w:t>
      </w:r>
      <w:r>
        <w:rPr>
          <w:rFonts w:hint="default" w:ascii="Times New Roman" w:hAnsi="Times New Roman" w:cs="Times New Roman"/>
          <w:sz w:val="21"/>
          <w:szCs w:val="21"/>
        </w:rPr>
        <w:t xml:space="preserve"> Thrän, 2019</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Sharma</w:t>
      </w:r>
      <w:r>
        <w:rPr>
          <w:rFonts w:hint="default" w:ascii="Times New Roman" w:hAnsi="Times New Roman" w:cs="Times New Roman"/>
          <w:sz w:val="21"/>
          <w:szCs w:val="21"/>
          <w:lang w:val="en-US" w:eastAsia="zh-CN"/>
        </w:rPr>
        <w:t xml:space="preserve"> et al., 2021)</w:t>
      </w:r>
      <w:r>
        <w:rPr>
          <w:rFonts w:hint="default" w:ascii="Times New Roman" w:hAnsi="Times New Roman" w:cs="Times New Roman"/>
          <w:sz w:val="21"/>
          <w:szCs w:val="21"/>
        </w:rPr>
        <w:t>.</w:t>
      </w:r>
    </w:p>
    <w:p>
      <w:pPr>
        <w:rPr>
          <w:rFonts w:hint="default" w:ascii="Times New Roman" w:hAnsi="Times New Roman" w:cs="Times New Roman"/>
          <w:sz w:val="21"/>
          <w:szCs w:val="21"/>
        </w:rPr>
      </w:pPr>
      <w:r>
        <w:rPr>
          <w:rFonts w:hint="default" w:ascii="Times New Roman" w:hAnsi="Times New Roman" w:cs="Times New Roman"/>
          <w:sz w:val="21"/>
          <w:szCs w:val="21"/>
        </w:rPr>
        <w:t>Wind energy applications in agriculture include the use of wind turbines to generate electricity for farm operations. Wind power is a clean and renewable energy source that can significantly reduce greenhouse gas emissions. Farms located in windy regions can benefit from installing wind turbines to meet their energy needs, contributing to a more sustainable and energy-efficient agricultural</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system</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O'Keeffe</w:t>
      </w:r>
      <w:r>
        <w:rPr>
          <w:rFonts w:hint="default" w:ascii="Times New Roman" w:hAnsi="Times New Roman" w:cs="Times New Roman"/>
          <w:sz w:val="21"/>
          <w:szCs w:val="21"/>
          <w:lang w:val="en-US" w:eastAsia="zh-CN"/>
        </w:rPr>
        <w:t xml:space="preserve"> and</w:t>
      </w:r>
      <w:r>
        <w:rPr>
          <w:rFonts w:hint="default" w:ascii="Times New Roman" w:hAnsi="Times New Roman" w:cs="Times New Roman"/>
          <w:sz w:val="21"/>
          <w:szCs w:val="21"/>
        </w:rPr>
        <w:t xml:space="preserve"> Thrän, 2019</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Sharma</w:t>
      </w:r>
      <w:r>
        <w:rPr>
          <w:rFonts w:hint="default" w:ascii="Times New Roman" w:hAnsi="Times New Roman" w:cs="Times New Roman"/>
          <w:sz w:val="21"/>
          <w:szCs w:val="21"/>
          <w:lang w:val="en-US" w:eastAsia="zh-CN"/>
        </w:rPr>
        <w:t xml:space="preserve"> et al., 2021)</w:t>
      </w:r>
      <w:r>
        <w:rPr>
          <w:rFonts w:hint="default" w:ascii="Times New Roman" w:hAnsi="Times New Roman" w:cs="Times New Roman"/>
          <w:sz w:val="21"/>
          <w:szCs w:val="21"/>
        </w:rPr>
        <w:t>.</w:t>
      </w:r>
    </w:p>
    <w:p>
      <w:pPr>
        <w:rPr>
          <w:rFonts w:hint="default" w:ascii="Times New Roman" w:hAnsi="Times New Roman" w:cs="Times New Roman"/>
          <w:sz w:val="21"/>
          <w:szCs w:val="21"/>
        </w:rPr>
      </w:pPr>
    </w:p>
    <w:p>
      <w:pP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drawing>
          <wp:inline distT="0" distB="0" distL="114300" distR="114300">
            <wp:extent cx="6071235" cy="2034540"/>
            <wp:effectExtent l="0" t="0" r="5715" b="3810"/>
            <wp:docPr id="4" name="图片 4" descr="sustainability-12-00237-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ustainability-12-00237-ag"/>
                    <pic:cNvPicPr>
                      <a:picLocks noChangeAspect="1"/>
                    </pic:cNvPicPr>
                  </pic:nvPicPr>
                  <pic:blipFill>
                    <a:blip r:embed="rId5"/>
                    <a:srcRect t="17846"/>
                    <a:stretch>
                      <a:fillRect/>
                    </a:stretch>
                  </pic:blipFill>
                  <pic:spPr>
                    <a:xfrm>
                      <a:off x="0" y="0"/>
                      <a:ext cx="6071235" cy="2034540"/>
                    </a:xfrm>
                    <a:prstGeom prst="rect">
                      <a:avLst/>
                    </a:prstGeom>
                  </pic:spPr>
                </pic:pic>
              </a:graphicData>
            </a:graphic>
          </wp:inline>
        </w:drawing>
      </w:r>
    </w:p>
    <w:p>
      <w:pP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 xml:space="preserve">Figure 2 Regional LCA of energy crops impacting crop mix and location on GHG emissions (Adapted from </w:t>
      </w:r>
      <w:r>
        <w:rPr>
          <w:rFonts w:hint="default" w:ascii="Times New Roman" w:hAnsi="Times New Roman" w:cs="Times New Roman"/>
          <w:sz w:val="18"/>
          <w:szCs w:val="18"/>
        </w:rPr>
        <w:t>O'Keeffe</w:t>
      </w:r>
      <w:r>
        <w:rPr>
          <w:rFonts w:hint="default" w:ascii="Times New Roman" w:hAnsi="Times New Roman" w:cs="Times New Roman"/>
          <w:sz w:val="18"/>
          <w:szCs w:val="18"/>
          <w:lang w:val="en-US" w:eastAsia="zh-CN"/>
        </w:rPr>
        <w:t xml:space="preserve"> and</w:t>
      </w:r>
      <w:r>
        <w:rPr>
          <w:rFonts w:hint="default" w:ascii="Times New Roman" w:hAnsi="Times New Roman" w:cs="Times New Roman"/>
          <w:sz w:val="18"/>
          <w:szCs w:val="18"/>
        </w:rPr>
        <w:t xml:space="preserve"> Thrän, 2019</w:t>
      </w:r>
      <w:r>
        <w:rPr>
          <w:rFonts w:hint="default" w:ascii="Times New Roman" w:hAnsi="Times New Roman" w:cs="Times New Roman"/>
          <w:sz w:val="18"/>
          <w:szCs w:val="18"/>
          <w:lang w:val="en-US" w:eastAsia="zh-CN"/>
        </w:rPr>
        <w:t>)</w:t>
      </w:r>
    </w:p>
    <w:p>
      <w:pPr>
        <w:rPr>
          <w:rFonts w:hint="default" w:ascii="Times New Roman" w:hAnsi="Times New Roman" w:cs="Times New Roman"/>
          <w:sz w:val="21"/>
          <w:szCs w:val="21"/>
          <w:lang w:val="en-US" w:eastAsia="zh-CN"/>
        </w:rPr>
      </w:pPr>
    </w:p>
    <w:p>
      <w:pPr>
        <w:rPr>
          <w:rFonts w:hint="default" w:ascii="Times New Roman" w:hAnsi="Times New Roman" w:cs="Times New Roman"/>
          <w:b/>
          <w:bCs/>
          <w:sz w:val="21"/>
          <w:szCs w:val="21"/>
        </w:rPr>
      </w:pPr>
      <w:r>
        <w:rPr>
          <w:rFonts w:hint="default" w:ascii="Times New Roman" w:hAnsi="Times New Roman" w:cs="Times New Roman"/>
          <w:b/>
          <w:bCs/>
          <w:sz w:val="21"/>
          <w:szCs w:val="21"/>
        </w:rPr>
        <w:t>5.2 Waste-to-energy systems</w:t>
      </w:r>
    </w:p>
    <w:p>
      <w:pPr>
        <w:rPr>
          <w:rFonts w:hint="default" w:ascii="Times New Roman" w:hAnsi="Times New Roman" w:cs="Times New Roman"/>
          <w:sz w:val="21"/>
          <w:szCs w:val="21"/>
        </w:rPr>
      </w:pPr>
      <w:r>
        <w:rPr>
          <w:rFonts w:hint="default" w:ascii="Times New Roman" w:hAnsi="Times New Roman" w:cs="Times New Roman"/>
          <w:sz w:val="21"/>
          <w:szCs w:val="21"/>
        </w:rPr>
        <w:t>Biomass energy from agricultural residues involves converting crop residues, animal manure, and other organic waste into bioenergy through processes like anaerobic digestion and combustion. This approach not only provides a renewable energy source but also helps manage agricultural waste, reducing environmental pollution and enhancing soil health through the application of digestate as a</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fertilizer</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Atelge</w:t>
      </w:r>
      <w:r>
        <w:rPr>
          <w:rFonts w:hint="default" w:ascii="Times New Roman" w:hAnsi="Times New Roman" w:cs="Times New Roman"/>
          <w:sz w:val="21"/>
          <w:szCs w:val="21"/>
          <w:lang w:val="en-US" w:eastAsia="zh-CN"/>
        </w:rPr>
        <w:t xml:space="preserve"> et al., 2020; </w:t>
      </w:r>
      <w:r>
        <w:rPr>
          <w:rFonts w:hint="default" w:ascii="Times New Roman" w:hAnsi="Times New Roman" w:cs="Times New Roman"/>
          <w:sz w:val="21"/>
          <w:szCs w:val="21"/>
        </w:rPr>
        <w:t>Tamburini</w:t>
      </w:r>
      <w:r>
        <w:rPr>
          <w:rFonts w:hint="default" w:ascii="Times New Roman" w:hAnsi="Times New Roman" w:cs="Times New Roman"/>
          <w:sz w:val="21"/>
          <w:szCs w:val="21"/>
          <w:lang w:val="en-US" w:eastAsia="zh-CN"/>
        </w:rPr>
        <w:t xml:space="preserve"> et al., 2020; </w:t>
      </w:r>
      <w:r>
        <w:rPr>
          <w:rFonts w:hint="default" w:ascii="Times New Roman" w:hAnsi="Times New Roman" w:cs="Times New Roman"/>
          <w:sz w:val="21"/>
          <w:szCs w:val="21"/>
        </w:rPr>
        <w:t>Xu</w:t>
      </w:r>
      <w:r>
        <w:rPr>
          <w:rFonts w:hint="default" w:ascii="Times New Roman" w:hAnsi="Times New Roman" w:cs="Times New Roman"/>
          <w:sz w:val="21"/>
          <w:szCs w:val="21"/>
          <w:lang w:val="en-US" w:eastAsia="zh-CN"/>
        </w:rPr>
        <w:t xml:space="preserve"> et al., 2021)</w:t>
      </w:r>
      <w:r>
        <w:rPr>
          <w:rFonts w:hint="default" w:ascii="Times New Roman" w:hAnsi="Times New Roman" w:cs="Times New Roman"/>
          <w:sz w:val="21"/>
          <w:szCs w:val="21"/>
        </w:rPr>
        <w:t>.</w:t>
      </w:r>
    </w:p>
    <w:p>
      <w:pPr>
        <w:rPr>
          <w:rFonts w:hint="default" w:ascii="Times New Roman" w:hAnsi="Times New Roman" w:cs="Times New Roman"/>
          <w:sz w:val="21"/>
          <w:szCs w:val="21"/>
        </w:rPr>
      </w:pPr>
      <w:r>
        <w:rPr>
          <w:rFonts w:hint="default" w:ascii="Times New Roman" w:hAnsi="Times New Roman" w:cs="Times New Roman"/>
          <w:sz w:val="21"/>
          <w:szCs w:val="21"/>
        </w:rPr>
        <w:t>Circular energy utilization in agriculture focuses on creating closed-loop systems where waste products are recycled and reused within the farming ecosystem. For example, the digestate from anaerobic digestion can be used as a nutrient-rich fertilizer, closing the nutrient loop and reducing the need for synthetic fertilizers. This approach promotes sustainability by minimizing waste and maximizing resource</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efficiency</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Atelge</w:t>
      </w:r>
      <w:r>
        <w:rPr>
          <w:rFonts w:hint="default" w:ascii="Times New Roman" w:hAnsi="Times New Roman" w:cs="Times New Roman"/>
          <w:sz w:val="21"/>
          <w:szCs w:val="21"/>
          <w:lang w:val="en-US" w:eastAsia="zh-CN"/>
        </w:rPr>
        <w:t xml:space="preserve"> et al., 2020; </w:t>
      </w:r>
      <w:r>
        <w:rPr>
          <w:rFonts w:hint="default" w:ascii="Times New Roman" w:hAnsi="Times New Roman" w:cs="Times New Roman"/>
          <w:sz w:val="21"/>
          <w:szCs w:val="21"/>
        </w:rPr>
        <w:t>Tamburini</w:t>
      </w:r>
      <w:r>
        <w:rPr>
          <w:rFonts w:hint="default" w:ascii="Times New Roman" w:hAnsi="Times New Roman" w:cs="Times New Roman"/>
          <w:sz w:val="21"/>
          <w:szCs w:val="21"/>
          <w:lang w:val="en-US" w:eastAsia="zh-CN"/>
        </w:rPr>
        <w:t xml:space="preserve"> et al., 2020; </w:t>
      </w:r>
      <w:r>
        <w:rPr>
          <w:rFonts w:hint="default" w:ascii="Times New Roman" w:hAnsi="Times New Roman" w:cs="Times New Roman"/>
          <w:sz w:val="21"/>
          <w:szCs w:val="21"/>
        </w:rPr>
        <w:t>Xu</w:t>
      </w:r>
      <w:r>
        <w:rPr>
          <w:rFonts w:hint="default" w:ascii="Times New Roman" w:hAnsi="Times New Roman" w:cs="Times New Roman"/>
          <w:sz w:val="21"/>
          <w:szCs w:val="21"/>
          <w:lang w:val="en-US" w:eastAsia="zh-CN"/>
        </w:rPr>
        <w:t xml:space="preserve"> et al., 2021)</w:t>
      </w:r>
      <w:r>
        <w:rPr>
          <w:rFonts w:hint="default" w:ascii="Times New Roman" w:hAnsi="Times New Roman" w:cs="Times New Roman"/>
          <w:sz w:val="21"/>
          <w:szCs w:val="21"/>
        </w:rPr>
        <w:t>.</w:t>
      </w:r>
    </w:p>
    <w:p>
      <w:pPr>
        <w:rPr>
          <w:rFonts w:hint="default" w:ascii="Times New Roman" w:hAnsi="Times New Roman" w:cs="Times New Roman"/>
          <w:b/>
          <w:bCs/>
          <w:sz w:val="21"/>
          <w:szCs w:val="21"/>
        </w:rPr>
      </w:pPr>
      <w:r>
        <w:rPr>
          <w:rFonts w:hint="default" w:ascii="Times New Roman" w:hAnsi="Times New Roman" w:cs="Times New Roman"/>
          <w:b/>
          <w:bCs/>
          <w:sz w:val="21"/>
          <w:szCs w:val="21"/>
        </w:rPr>
        <w:t>5.3 Case studies</w:t>
      </w:r>
    </w:p>
    <w:p>
      <w:pPr>
        <w:rPr>
          <w:rFonts w:hint="default" w:ascii="Times New Roman" w:hAnsi="Times New Roman" w:cs="Times New Roman"/>
          <w:sz w:val="21"/>
          <w:szCs w:val="21"/>
        </w:rPr>
      </w:pPr>
      <w:r>
        <w:rPr>
          <w:rFonts w:hint="default" w:ascii="Times New Roman" w:hAnsi="Times New Roman" w:cs="Times New Roman"/>
          <w:sz w:val="21"/>
          <w:szCs w:val="21"/>
        </w:rPr>
        <w:t>Several case studies highlight the successful integration of renewable energy in agriculture. For instance, the Emilia Romagna region in Italy has effectively utilized biogas production from agricultural and agri-food waste, resulting in significant greenhouse gas emission reductions and energy</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savings</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Tamburini</w:t>
      </w:r>
      <w:r>
        <w:rPr>
          <w:rFonts w:hint="default" w:ascii="Times New Roman" w:hAnsi="Times New Roman" w:cs="Times New Roman"/>
          <w:sz w:val="21"/>
          <w:szCs w:val="21"/>
          <w:lang w:val="en-US" w:eastAsia="zh-CN"/>
        </w:rPr>
        <w:t xml:space="preserve"> et al., 2020)</w:t>
      </w:r>
      <w:r>
        <w:rPr>
          <w:rFonts w:hint="default" w:ascii="Times New Roman" w:hAnsi="Times New Roman" w:cs="Times New Roman"/>
          <w:sz w:val="21"/>
          <w:szCs w:val="21"/>
        </w:rPr>
        <w:t>. Another example is the Biogasdoneright™ system in Italy, which combines sequential cropping with biogas production to enhance sustainability and energy efficiency in agricultural</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systems</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Dale</w:t>
      </w:r>
      <w:r>
        <w:rPr>
          <w:rFonts w:hint="default" w:ascii="Times New Roman" w:hAnsi="Times New Roman" w:cs="Times New Roman"/>
          <w:sz w:val="21"/>
          <w:szCs w:val="21"/>
          <w:lang w:val="en-US" w:eastAsia="zh-CN"/>
        </w:rPr>
        <w:t xml:space="preserve"> et al., 2020; </w:t>
      </w:r>
      <w:r>
        <w:rPr>
          <w:rFonts w:hint="default" w:ascii="Times New Roman" w:hAnsi="Times New Roman" w:cs="Times New Roman"/>
          <w:sz w:val="21"/>
          <w:szCs w:val="21"/>
        </w:rPr>
        <w:t>Magnolo</w:t>
      </w:r>
      <w:r>
        <w:rPr>
          <w:rFonts w:hint="default" w:ascii="Times New Roman" w:hAnsi="Times New Roman" w:cs="Times New Roman"/>
          <w:sz w:val="21"/>
          <w:szCs w:val="21"/>
          <w:lang w:val="en-US" w:eastAsia="zh-CN"/>
        </w:rPr>
        <w:t xml:space="preserve"> et al., 2021)</w:t>
      </w:r>
      <w:r>
        <w:rPr>
          <w:rFonts w:hint="default" w:ascii="Times New Roman" w:hAnsi="Times New Roman" w:cs="Times New Roman"/>
          <w:sz w:val="21"/>
          <w:szCs w:val="21"/>
        </w:rPr>
        <w:t>. These case studies demonstrate the potential of renewable energy integration to transform agricultural practices, making them more sustainable and resilient to climate change.</w:t>
      </w:r>
    </w:p>
    <w:p>
      <w:pPr>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Policy Recommendations for Carbon-Positive Agriculture</w:t>
      </w:r>
    </w:p>
    <w:p>
      <w:pPr>
        <w:rPr>
          <w:rFonts w:hint="default" w:ascii="Times New Roman" w:hAnsi="Times New Roman" w:cs="Times New Roman"/>
          <w:b/>
          <w:bCs/>
          <w:sz w:val="21"/>
          <w:szCs w:val="21"/>
        </w:rPr>
      </w:pPr>
      <w:r>
        <w:rPr>
          <w:rFonts w:hint="default" w:ascii="Times New Roman" w:hAnsi="Times New Roman" w:cs="Times New Roman"/>
          <w:b/>
          <w:bCs/>
          <w:sz w:val="21"/>
          <w:szCs w:val="21"/>
        </w:rPr>
        <w:t>6.1 Incentives for green farming practices</w:t>
      </w:r>
    </w:p>
    <w:p>
      <w:pPr>
        <w:rPr>
          <w:rFonts w:hint="default" w:ascii="Times New Roman" w:hAnsi="Times New Roman" w:cs="Times New Roman"/>
          <w:sz w:val="21"/>
          <w:szCs w:val="21"/>
        </w:rPr>
      </w:pPr>
      <w:r>
        <w:rPr>
          <w:rFonts w:hint="default" w:ascii="Times New Roman" w:hAnsi="Times New Roman" w:cs="Times New Roman"/>
          <w:sz w:val="21"/>
          <w:szCs w:val="21"/>
        </w:rPr>
        <w:t>To promote carbon-positive agriculture, it is essential to provide incentives for adopting green farming practices. Financial incentives such as subsidies, carbon credits, and tax breaks can motivate farmers to implement sustainable practices like conservation tillage, cover cropping, and agroforestry. For instance, subsidies have been shown to increase farmers' efforts to build soil organic carbon</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(SOC)</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Hermann</w:t>
      </w:r>
      <w:r>
        <w:rPr>
          <w:rFonts w:hint="default" w:ascii="Times New Roman" w:hAnsi="Times New Roman" w:cs="Times New Roman"/>
          <w:sz w:val="21"/>
          <w:szCs w:val="21"/>
          <w:lang w:val="en-US" w:eastAsia="zh-CN"/>
        </w:rPr>
        <w:t xml:space="preserve"> et al., 2017)</w:t>
      </w:r>
      <w:r>
        <w:rPr>
          <w:rFonts w:hint="default" w:ascii="Times New Roman" w:hAnsi="Times New Roman" w:cs="Times New Roman"/>
          <w:sz w:val="21"/>
          <w:szCs w:val="21"/>
        </w:rPr>
        <w:t>. Additionally, agroforestry systems, which integrate trees with crops and livestock, have been identified as highly effective in sequestering carbon and improving soil</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health</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Bhattacharyya</w:t>
      </w:r>
      <w:r>
        <w:rPr>
          <w:rFonts w:hint="default" w:ascii="Times New Roman" w:hAnsi="Times New Roman" w:cs="Times New Roman"/>
          <w:sz w:val="21"/>
          <w:szCs w:val="21"/>
          <w:lang w:val="en-US" w:eastAsia="zh-CN"/>
        </w:rPr>
        <w:t xml:space="preserve"> et al., 2021; </w:t>
      </w:r>
      <w:r>
        <w:rPr>
          <w:rFonts w:hint="default" w:ascii="Times New Roman" w:hAnsi="Times New Roman" w:cs="Times New Roman"/>
          <w:sz w:val="21"/>
          <w:szCs w:val="21"/>
        </w:rPr>
        <w:t>Sharma</w:t>
      </w:r>
      <w:r>
        <w:rPr>
          <w:rFonts w:hint="default" w:ascii="Times New Roman" w:hAnsi="Times New Roman" w:cs="Times New Roman"/>
          <w:sz w:val="21"/>
          <w:szCs w:val="21"/>
          <w:lang w:val="en-US" w:eastAsia="zh-CN"/>
        </w:rPr>
        <w:t xml:space="preserve"> et al., 2021)</w:t>
      </w:r>
      <w:r>
        <w:rPr>
          <w:rFonts w:hint="default" w:ascii="Times New Roman" w:hAnsi="Times New Roman" w:cs="Times New Roman"/>
          <w:sz w:val="21"/>
          <w:szCs w:val="21"/>
        </w:rPr>
        <w:t>. By offering economic benefits, these incentives can encourage widespread adoption of practices that enhance carbon sequestration and reduce greenhouse gas emissions.</w:t>
      </w:r>
    </w:p>
    <w:p>
      <w:pPr>
        <w:rPr>
          <w:rFonts w:hint="default" w:ascii="Times New Roman" w:hAnsi="Times New Roman" w:cs="Times New Roman"/>
          <w:b/>
          <w:bCs/>
          <w:sz w:val="21"/>
          <w:szCs w:val="21"/>
        </w:rPr>
      </w:pPr>
      <w:r>
        <w:rPr>
          <w:rFonts w:hint="default" w:ascii="Times New Roman" w:hAnsi="Times New Roman" w:cs="Times New Roman"/>
          <w:b/>
          <w:bCs/>
          <w:sz w:val="21"/>
          <w:szCs w:val="21"/>
        </w:rPr>
        <w:t>6.2 Development of national and regional carbon accounting frameworks</w:t>
      </w:r>
    </w:p>
    <w:p>
      <w:pPr>
        <w:rPr>
          <w:rFonts w:hint="default" w:ascii="Times New Roman" w:hAnsi="Times New Roman" w:cs="Times New Roman"/>
          <w:sz w:val="21"/>
          <w:szCs w:val="21"/>
        </w:rPr>
      </w:pPr>
      <w:r>
        <w:rPr>
          <w:rFonts w:hint="default" w:ascii="Times New Roman" w:hAnsi="Times New Roman" w:cs="Times New Roman"/>
          <w:sz w:val="21"/>
          <w:szCs w:val="21"/>
        </w:rPr>
        <w:t>Establishing robust carbon accounting frameworks at national and regional levels is crucial for accurately measuring and managing carbon sequestration in agriculture. These frameworks should include standardized methods for quantifying SOC changes and greenhouse gas emissions from various agricultural practices. Accurate carbon accounting can help in assessing the effectiveness of different practices and policies, thereby guiding future actions. For example, the adoption of recommended management practices (RMPs) such as crop rotations, cover crops, and reduced tillage has been shown to significantly enhance SOC</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levels</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Jarecki</w:t>
      </w:r>
      <w:r>
        <w:rPr>
          <w:rFonts w:hint="default" w:ascii="Times New Roman" w:hAnsi="Times New Roman" w:cs="Times New Roman"/>
          <w:sz w:val="21"/>
          <w:szCs w:val="21"/>
          <w:lang w:val="en-US" w:eastAsia="zh-CN"/>
        </w:rPr>
        <w:t xml:space="preserve"> and</w:t>
      </w:r>
      <w:r>
        <w:rPr>
          <w:rFonts w:hint="default" w:ascii="Times New Roman" w:hAnsi="Times New Roman" w:cs="Times New Roman"/>
          <w:sz w:val="21"/>
          <w:szCs w:val="21"/>
        </w:rPr>
        <w:t xml:space="preserve"> Lal, 2003</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rPr>
        <w:t>. Implementing comprehensive carbon accounting systems will ensure that these practices are properly monitored and rewarded, thereby promoting their adoption.</w:t>
      </w:r>
    </w:p>
    <w:p>
      <w:pPr>
        <w:rPr>
          <w:rFonts w:hint="default" w:ascii="Times New Roman" w:hAnsi="Times New Roman" w:cs="Times New Roman"/>
          <w:b/>
          <w:bCs/>
          <w:sz w:val="21"/>
          <w:szCs w:val="21"/>
        </w:rPr>
      </w:pPr>
      <w:r>
        <w:rPr>
          <w:rFonts w:hint="default" w:ascii="Times New Roman" w:hAnsi="Times New Roman" w:cs="Times New Roman"/>
          <w:b/>
          <w:bCs/>
          <w:sz w:val="21"/>
          <w:szCs w:val="21"/>
        </w:rPr>
        <w:t>6.3 Interdisciplinary and international collaboration opportunities</w:t>
      </w:r>
    </w:p>
    <w:p>
      <w:pPr>
        <w:rPr>
          <w:rFonts w:hint="default" w:ascii="Times New Roman" w:hAnsi="Times New Roman" w:cs="Times New Roman"/>
          <w:sz w:val="21"/>
          <w:szCs w:val="21"/>
        </w:rPr>
      </w:pPr>
      <w:r>
        <w:rPr>
          <w:rFonts w:hint="default" w:ascii="Times New Roman" w:hAnsi="Times New Roman" w:cs="Times New Roman"/>
          <w:sz w:val="21"/>
          <w:szCs w:val="21"/>
        </w:rPr>
        <w:t>Interdisciplinary and international collaborations are vital for advancing carbon-positive agriculture. Collaborative efforts can facilitate the exchange of knowledge, technologies, and best practices across different regions and disciplines. For instance, integrating insights from soil science, agronomy, economics, and policy studies can lead to more effective strategies for carbon</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sequestration</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Lal, 2004</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Hutchinson</w:t>
      </w:r>
      <w:r>
        <w:rPr>
          <w:rFonts w:hint="default" w:ascii="Times New Roman" w:hAnsi="Times New Roman" w:cs="Times New Roman"/>
          <w:sz w:val="21"/>
          <w:szCs w:val="21"/>
          <w:lang w:val="en-US" w:eastAsia="zh-CN"/>
        </w:rPr>
        <w:t xml:space="preserve"> et al., 2007)</w:t>
      </w:r>
      <w:r>
        <w:rPr>
          <w:rFonts w:hint="default" w:ascii="Times New Roman" w:hAnsi="Times New Roman" w:cs="Times New Roman"/>
          <w:sz w:val="21"/>
          <w:szCs w:val="21"/>
        </w:rPr>
        <w:t>. International collaborations can also help in addressing region-specific challenges and opportunities, such as the unique potential of agroforestry in tropical</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regions</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Hutchinson</w:t>
      </w:r>
      <w:r>
        <w:rPr>
          <w:rFonts w:hint="default" w:ascii="Times New Roman" w:hAnsi="Times New Roman" w:cs="Times New Roman"/>
          <w:sz w:val="21"/>
          <w:szCs w:val="21"/>
          <w:lang w:val="en-US" w:eastAsia="zh-CN"/>
        </w:rPr>
        <w:t xml:space="preserve"> et al., 2007)</w:t>
      </w:r>
      <w:r>
        <w:rPr>
          <w:rFonts w:hint="default" w:ascii="Times New Roman" w:hAnsi="Times New Roman" w:cs="Times New Roman"/>
          <w:sz w:val="21"/>
          <w:szCs w:val="21"/>
        </w:rPr>
        <w:t>. By fostering partnerships among researchers, policymakers, and practitioners globally, we can accelerate the development and implementation of innovative solutions for sustainable agriculture.</w:t>
      </w:r>
    </w:p>
    <w:p>
      <w:pPr>
        <w:rPr>
          <w:rFonts w:hint="default" w:ascii="Times New Roman" w:hAnsi="Times New Roman" w:cs="Times New Roman"/>
          <w:b/>
          <w:bCs/>
          <w:sz w:val="24"/>
          <w:szCs w:val="24"/>
        </w:rPr>
      </w:pPr>
      <w:r>
        <w:rPr>
          <w:rFonts w:hint="default" w:ascii="Times New Roman" w:hAnsi="Times New Roman" w:cs="Times New Roman"/>
          <w:b/>
          <w:bCs/>
          <w:sz w:val="24"/>
          <w:szCs w:val="24"/>
        </w:rPr>
        <w:t>7 Case Studies and Regional Insights</w:t>
      </w:r>
    </w:p>
    <w:p>
      <w:pPr>
        <w:rPr>
          <w:rFonts w:hint="default" w:ascii="Times New Roman" w:hAnsi="Times New Roman" w:cs="Times New Roman"/>
          <w:b/>
          <w:bCs/>
          <w:sz w:val="21"/>
          <w:szCs w:val="21"/>
        </w:rPr>
      </w:pPr>
      <w:r>
        <w:rPr>
          <w:rFonts w:hint="default" w:ascii="Times New Roman" w:hAnsi="Times New Roman" w:cs="Times New Roman"/>
          <w:b/>
          <w:bCs/>
          <w:sz w:val="21"/>
          <w:szCs w:val="21"/>
        </w:rPr>
        <w:t>7.1 In-depth analysis of successful carbon management projects</w:t>
      </w:r>
    </w:p>
    <w:p>
      <w:pPr>
        <w:rPr>
          <w:rFonts w:hint="default" w:ascii="Times New Roman" w:hAnsi="Times New Roman" w:cs="Times New Roman"/>
          <w:sz w:val="21"/>
          <w:szCs w:val="21"/>
        </w:rPr>
      </w:pPr>
      <w:r>
        <w:rPr>
          <w:rFonts w:hint="default" w:ascii="Times New Roman" w:hAnsi="Times New Roman" w:cs="Times New Roman"/>
          <w:sz w:val="21"/>
          <w:szCs w:val="21"/>
        </w:rPr>
        <w:t>Successful carbon management projects in agriculture have demonstrated significant potential in enhancing soil organic carbon (SOC) sequestration and reducing greenhouse gas emissions. For instance, a meta-analysis of climate-smart agriculture (CSA) practices, including conservation tillage, cover crops, and biochar applications, revealed that biochar applications were the most effective, increasing SOC content by 39%, followed by cover crops (6%) and conservation tillage</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(5%)</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Bai</w:t>
      </w:r>
      <w:r>
        <w:rPr>
          <w:rFonts w:hint="default" w:ascii="Times New Roman" w:hAnsi="Times New Roman" w:cs="Times New Roman"/>
          <w:sz w:val="21"/>
          <w:szCs w:val="21"/>
          <w:lang w:val="en-US" w:eastAsia="zh-CN"/>
        </w:rPr>
        <w:t xml:space="preserve"> et al., 2019)</w:t>
      </w:r>
      <w:r>
        <w:rPr>
          <w:rFonts w:hint="default" w:ascii="Times New Roman" w:hAnsi="Times New Roman" w:cs="Times New Roman"/>
          <w:sz w:val="21"/>
          <w:szCs w:val="21"/>
        </w:rPr>
        <w:t>. These practices were particularly effective in warmer climates or areas with lower nitrogen fertilizer inputs, highlighting the importance of local environmental factors in the success of carbon management projects.</w:t>
      </w:r>
    </w:p>
    <w:p>
      <w:pPr>
        <w:rPr>
          <w:rFonts w:hint="default" w:ascii="Times New Roman" w:hAnsi="Times New Roman" w:cs="Times New Roman"/>
          <w:sz w:val="21"/>
          <w:szCs w:val="21"/>
        </w:rPr>
      </w:pPr>
      <w:r>
        <w:rPr>
          <w:rFonts w:hint="default" w:ascii="Times New Roman" w:hAnsi="Times New Roman" w:cs="Times New Roman"/>
          <w:sz w:val="21"/>
          <w:szCs w:val="21"/>
        </w:rPr>
        <w:t>In another case, the 4p1000 initiative, which aims to increase SOC storage through sustainable practices, has shown promise in addressing climate change adaptation, mitigation, and food security simultaneously. This initiative emphasizes the need for region-specific practices and collaboration among policymakers, practitioners, scientists, and stakeholders to stimulate innovation and transition agricultural systems toward</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sustainability</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Rumpel</w:t>
      </w:r>
      <w:r>
        <w:rPr>
          <w:rFonts w:hint="default" w:ascii="Times New Roman" w:hAnsi="Times New Roman" w:cs="Times New Roman"/>
          <w:sz w:val="21"/>
          <w:szCs w:val="21"/>
          <w:lang w:val="en-US" w:eastAsia="zh-CN"/>
        </w:rPr>
        <w:t xml:space="preserve"> et al., 2019)</w:t>
      </w:r>
      <w:r>
        <w:rPr>
          <w:rFonts w:hint="default" w:ascii="Times New Roman" w:hAnsi="Times New Roman" w:cs="Times New Roman"/>
          <w:sz w:val="21"/>
          <w:szCs w:val="21"/>
        </w:rPr>
        <w:t>. Despite some criticism regarding its numerical targets, the initiative has provided a collaborative platform for developing and implementing effective carbon management strategies.</w:t>
      </w:r>
    </w:p>
    <w:p>
      <w:pPr>
        <w:rPr>
          <w:rFonts w:hint="default" w:ascii="Times New Roman" w:hAnsi="Times New Roman" w:cs="Times New Roman"/>
          <w:b/>
          <w:bCs/>
          <w:sz w:val="21"/>
          <w:szCs w:val="21"/>
        </w:rPr>
      </w:pPr>
      <w:r>
        <w:rPr>
          <w:rFonts w:hint="default" w:ascii="Times New Roman" w:hAnsi="Times New Roman" w:cs="Times New Roman"/>
          <w:b/>
          <w:bCs/>
          <w:sz w:val="21"/>
          <w:szCs w:val="21"/>
        </w:rPr>
        <w:t>7.2 Region-specific challenges and tailored solutions</w:t>
      </w:r>
    </w:p>
    <w:p>
      <w:pPr>
        <w:rPr>
          <w:rFonts w:hint="default" w:ascii="Times New Roman" w:hAnsi="Times New Roman" w:cs="Times New Roman"/>
          <w:sz w:val="21"/>
          <w:szCs w:val="21"/>
        </w:rPr>
      </w:pPr>
      <w:r>
        <w:rPr>
          <w:rFonts w:hint="default" w:ascii="Times New Roman" w:hAnsi="Times New Roman" w:cs="Times New Roman"/>
          <w:sz w:val="21"/>
          <w:szCs w:val="21"/>
        </w:rPr>
        <w:t>Different regions face unique challenges in implementing carbon sequestration practices, necessitating tailored solutions. For example, in Australia, the government's Emission Reduction Fund (ERF) encourages farmers to adopt practices that increase soil carbon stocks and earn Australian Carbon Credit Units (ACCUs). However, the success of this program is hindered by biophysical constraints such as variable rainfall and the high costs of compliance and practice</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changes</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White, 2022</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rPr>
        <w:t>. To address these challenges, it is crucial to develop region-specific strategies that consider local environmental conditions and economic factors.</w:t>
      </w:r>
    </w:p>
    <w:p>
      <w:pPr>
        <w:rPr>
          <w:rFonts w:hint="default" w:ascii="Times New Roman" w:hAnsi="Times New Roman" w:cs="Times New Roman"/>
          <w:sz w:val="21"/>
          <w:szCs w:val="21"/>
        </w:rPr>
      </w:pPr>
      <w:r>
        <w:rPr>
          <w:rFonts w:hint="default" w:ascii="Times New Roman" w:hAnsi="Times New Roman" w:cs="Times New Roman"/>
          <w:sz w:val="21"/>
          <w:szCs w:val="21"/>
        </w:rPr>
        <w:t>In Northern Italy, the influence of agronomic practices on soil carbon sequestration varies significantly across different pedoclimatic settings. For instance, organic farms in the Northern Apennines, characterized by minimal soil disturbance and cold climates, showed higher SOC sequestration compared to conventional farms on the Po Plain, where warmer climates and moderately alkaline environments enhanced soil microbial activity, leading to lower SOC</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levels</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Brombin</w:t>
      </w:r>
      <w:r>
        <w:rPr>
          <w:rFonts w:hint="default" w:ascii="Times New Roman" w:hAnsi="Times New Roman" w:cs="Times New Roman"/>
          <w:sz w:val="21"/>
          <w:szCs w:val="21"/>
          <w:lang w:val="en-US" w:eastAsia="zh-CN"/>
        </w:rPr>
        <w:t xml:space="preserve"> et al., 2020) (Figure </w:t>
      </w:r>
      <w:r>
        <w:rPr>
          <w:rFonts w:hint="eastAsia" w:ascii="Times New Roman" w:hAnsi="Times New Roman" w:cs="Times New Roman"/>
          <w:sz w:val="21"/>
          <w:szCs w:val="21"/>
          <w:lang w:val="en-US" w:eastAsia="zh-CN"/>
        </w:rPr>
        <w:t>3</w:t>
      </w:r>
      <w:r>
        <w:rPr>
          <w:rFonts w:hint="default" w:ascii="Times New Roman" w:hAnsi="Times New Roman" w:cs="Times New Roman"/>
          <w:sz w:val="21"/>
          <w:szCs w:val="21"/>
          <w:lang w:val="en-US" w:eastAsia="zh-CN"/>
        </w:rPr>
        <w:t>; Table 1)</w:t>
      </w:r>
      <w:r>
        <w:rPr>
          <w:rFonts w:hint="default" w:ascii="Times New Roman" w:hAnsi="Times New Roman" w:cs="Times New Roman"/>
          <w:sz w:val="21"/>
          <w:szCs w:val="21"/>
        </w:rPr>
        <w:t>. This underscores the need for thorough soil investigations and tailored best practices that reconcile productivity with soil sustainability.</w:t>
      </w:r>
    </w:p>
    <w:p>
      <w:pPr>
        <w:rPr>
          <w:rFonts w:hint="default" w:ascii="Times New Roman" w:hAnsi="Times New Roman" w:cs="Times New Roman"/>
          <w:sz w:val="21"/>
          <w:szCs w:val="21"/>
        </w:rPr>
      </w:pPr>
      <w:r>
        <w:rPr>
          <w:rFonts w:hint="default" w:ascii="Times New Roman" w:hAnsi="Times New Roman" w:cs="Times New Roman"/>
          <w:sz w:val="21"/>
          <w:szCs w:val="21"/>
        </w:rPr>
        <w:t>In China, the spatial-temporal dynamics of carbon footprints in crop production revealed that practices such as straw return and improved fertilization efficiency significantly mitigated greenhouse gas emissions. However, the primary drivers of emissions varied across regions, with fertilization, machinery operation, and rice paddy methane flux being the main contributors in different</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areas</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Liu</w:t>
      </w:r>
      <w:r>
        <w:rPr>
          <w:rFonts w:hint="default" w:ascii="Times New Roman" w:hAnsi="Times New Roman" w:cs="Times New Roman"/>
          <w:sz w:val="21"/>
          <w:szCs w:val="21"/>
          <w:lang w:val="en-US" w:eastAsia="zh-CN"/>
        </w:rPr>
        <w:t xml:space="preserve"> et al., 2018)</w:t>
      </w:r>
      <w:r>
        <w:rPr>
          <w:rFonts w:hint="default" w:ascii="Times New Roman" w:hAnsi="Times New Roman" w:cs="Times New Roman"/>
          <w:sz w:val="21"/>
          <w:szCs w:val="21"/>
        </w:rPr>
        <w:t>. This highlights the importance of implementing region-specific management practices to effectively reduce emissions and enhance carbon sequestration.</w:t>
      </w:r>
    </w:p>
    <w:p>
      <w:pPr>
        <w:rPr>
          <w:rFonts w:hint="default" w:ascii="Times New Roman" w:hAnsi="Times New Roman" w:cs="Times New Roman"/>
          <w:sz w:val="21"/>
          <w:szCs w:val="21"/>
        </w:rPr>
      </w:pPr>
    </w:p>
    <w:p>
      <w:pP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drawing>
          <wp:inline distT="0" distB="0" distL="114300" distR="114300">
            <wp:extent cx="6116320" cy="4351655"/>
            <wp:effectExtent l="0" t="0" r="17780" b="10795"/>
            <wp:docPr id="1" name="图片 1" descr="f4c63105-3a94-47dc-b6f5-90b442dc7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4c63105-3a94-47dc-b6f5-90b442dc7595"/>
                    <pic:cNvPicPr>
                      <a:picLocks noChangeAspect="1"/>
                    </pic:cNvPicPr>
                  </pic:nvPicPr>
                  <pic:blipFill>
                    <a:blip r:embed="rId6"/>
                    <a:stretch>
                      <a:fillRect/>
                    </a:stretch>
                  </pic:blipFill>
                  <pic:spPr>
                    <a:xfrm>
                      <a:off x="0" y="0"/>
                      <a:ext cx="6116320" cy="4351655"/>
                    </a:xfrm>
                    <a:prstGeom prst="rect">
                      <a:avLst/>
                    </a:prstGeom>
                  </pic:spPr>
                </pic:pic>
              </a:graphicData>
            </a:graphic>
          </wp:inline>
        </w:drawing>
      </w:r>
    </w:p>
    <w:p>
      <w:pP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 xml:space="preserve">Figure </w:t>
      </w:r>
      <w:r>
        <w:rPr>
          <w:rFonts w:hint="eastAsia" w:ascii="Times New Roman" w:hAnsi="Times New Roman" w:cs="Times New Roman"/>
          <w:sz w:val="18"/>
          <w:szCs w:val="18"/>
          <w:lang w:val="en-US" w:eastAsia="zh-CN"/>
        </w:rPr>
        <w:t>3</w:t>
      </w:r>
      <w:r>
        <w:rPr>
          <w:rFonts w:hint="default" w:ascii="Times New Roman" w:hAnsi="Times New Roman" w:cs="Times New Roman"/>
          <w:sz w:val="18"/>
          <w:szCs w:val="18"/>
          <w:lang w:val="en-US" w:eastAsia="zh-CN"/>
        </w:rPr>
        <w:t xml:space="preserve"> (a) Locations of the investigated farms within the Emilia-Romagna region (Northern Italy). Simplified geomorphological maps of the studied areas showing the location of (b) the I Rodi (IR) farm in the Apennines, as well as the (c) Tassinari Carla (BT) farm and (d) Maccanti Vivai (MV) farm on the Po Plain (Adopted from </w:t>
      </w:r>
      <w:r>
        <w:rPr>
          <w:rFonts w:hint="default" w:ascii="Times New Roman" w:hAnsi="Times New Roman" w:cs="Times New Roman"/>
          <w:sz w:val="18"/>
          <w:szCs w:val="18"/>
        </w:rPr>
        <w:t>Brombin</w:t>
      </w:r>
      <w:r>
        <w:rPr>
          <w:rFonts w:hint="default" w:ascii="Times New Roman" w:hAnsi="Times New Roman" w:cs="Times New Roman"/>
          <w:sz w:val="18"/>
          <w:szCs w:val="18"/>
          <w:lang w:val="en-US" w:eastAsia="zh-CN"/>
        </w:rPr>
        <w:t xml:space="preserve"> et al., 2020)</w:t>
      </w:r>
    </w:p>
    <w:p>
      <w:pPr>
        <w:rPr>
          <w:rFonts w:hint="default" w:ascii="Times New Roman" w:hAnsi="Times New Roman" w:cs="Times New Roman"/>
          <w:sz w:val="18"/>
          <w:szCs w:val="18"/>
          <w:lang w:val="en-US" w:eastAsia="zh-CN"/>
        </w:rPr>
      </w:pPr>
    </w:p>
    <w:p>
      <w:pP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 xml:space="preserve">Table 1 Average organic carbon stock in soil collected at 0-30 cm in the different fields of the I Rodi (IR) farm, Tassinari Carla (BT) farm, and Maccanti Vivai (MV) farm. The respective bulk densities for each investigated area are also reported (Adopted from </w:t>
      </w:r>
      <w:r>
        <w:rPr>
          <w:rFonts w:hint="default" w:ascii="Times New Roman" w:hAnsi="Times New Roman" w:cs="Times New Roman"/>
          <w:sz w:val="18"/>
          <w:szCs w:val="18"/>
        </w:rPr>
        <w:t>Brombin</w:t>
      </w:r>
      <w:r>
        <w:rPr>
          <w:rFonts w:hint="default" w:ascii="Times New Roman" w:hAnsi="Times New Roman" w:cs="Times New Roman"/>
          <w:sz w:val="18"/>
          <w:szCs w:val="18"/>
          <w:lang w:val="en-US" w:eastAsia="zh-CN"/>
        </w:rPr>
        <w:t xml:space="preserve"> et al., 2020)</w:t>
      </w:r>
    </w:p>
    <w:tbl>
      <w:tblPr>
        <w:tblStyle w:val="7"/>
        <w:tblW w:w="0" w:type="auto"/>
        <w:tblInd w:w="0" w:type="dxa"/>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autofit"/>
        <w:tblCellMar>
          <w:top w:w="0" w:type="dxa"/>
          <w:left w:w="0" w:type="dxa"/>
          <w:bottom w:w="0" w:type="dxa"/>
          <w:right w:w="108" w:type="dxa"/>
        </w:tblCellMar>
      </w:tblPr>
      <w:tblGrid>
        <w:gridCol w:w="3250"/>
        <w:gridCol w:w="3248"/>
        <w:gridCol w:w="3248"/>
      </w:tblGrid>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108" w:type="dxa"/>
          </w:tblCellMar>
        </w:tblPrEx>
        <w:tc>
          <w:tcPr>
            <w:tcW w:w="3284" w:type="dxa"/>
            <w:tcBorders>
              <w:bottom w:val="single" w:color="auto" w:sz="4" w:space="0"/>
              <w:tl2br w:val="nil"/>
              <w:tr2bl w:val="nil"/>
            </w:tcBorders>
            <w:vAlign w:val="top"/>
          </w:tcPr>
          <w:p>
            <w:pPr>
              <w:rPr>
                <w:rFonts w:hint="default" w:ascii="Times New Roman" w:hAnsi="Times New Roman" w:cs="Times New Roman"/>
                <w:sz w:val="18"/>
                <w:szCs w:val="18"/>
                <w:lang w:val="en-US" w:eastAsia="zh-CN"/>
              </w:rPr>
            </w:pPr>
            <w:r>
              <w:rPr>
                <w:rFonts w:hint="default" w:ascii="Times New Roman" w:hAnsi="Times New Roman" w:cs="Times New Roman"/>
                <w:sz w:val="18"/>
                <w:szCs w:val="18"/>
              </w:rPr>
              <w:t>Field</w:t>
            </w:r>
          </w:p>
        </w:tc>
        <w:tc>
          <w:tcPr>
            <w:tcW w:w="3285" w:type="dxa"/>
            <w:tcBorders>
              <w:bottom w:val="single" w:color="auto" w:sz="4" w:space="0"/>
              <w:tl2br w:val="nil"/>
              <w:tr2bl w:val="nil"/>
            </w:tcBorders>
            <w:vAlign w:val="top"/>
          </w:tcPr>
          <w:p>
            <w:pPr>
              <w:rPr>
                <w:rFonts w:hint="default" w:ascii="Times New Roman" w:hAnsi="Times New Roman" w:cs="Times New Roman"/>
                <w:sz w:val="18"/>
                <w:szCs w:val="18"/>
                <w:lang w:val="en-US" w:eastAsia="zh-CN"/>
              </w:rPr>
            </w:pPr>
            <w:r>
              <w:rPr>
                <w:rFonts w:hint="default" w:ascii="Times New Roman" w:hAnsi="Times New Roman" w:cs="Times New Roman"/>
                <w:sz w:val="18"/>
                <w:szCs w:val="18"/>
              </w:rPr>
              <w:t>Bulk Density (g/cm</w:t>
            </w:r>
            <w:r>
              <w:rPr>
                <w:rFonts w:hint="default" w:ascii="Times New Roman" w:hAnsi="Times New Roman" w:cs="Times New Roman"/>
                <w:sz w:val="18"/>
                <w:szCs w:val="18"/>
                <w:vertAlign w:val="superscript"/>
              </w:rPr>
              <w:t>3</w:t>
            </w:r>
            <w:r>
              <w:rPr>
                <w:rFonts w:hint="default" w:ascii="Times New Roman" w:hAnsi="Times New Roman" w:cs="Times New Roman"/>
                <w:sz w:val="18"/>
                <w:szCs w:val="18"/>
              </w:rPr>
              <w:t>)</w:t>
            </w:r>
          </w:p>
        </w:tc>
        <w:tc>
          <w:tcPr>
            <w:tcW w:w="3285" w:type="dxa"/>
            <w:tcBorders>
              <w:bottom w:val="single" w:color="auto" w:sz="4" w:space="0"/>
              <w:tl2br w:val="nil"/>
              <w:tr2bl w:val="nil"/>
            </w:tcBorders>
            <w:vAlign w:val="top"/>
          </w:tcPr>
          <w:p>
            <w:pPr>
              <w:rPr>
                <w:rFonts w:hint="default" w:ascii="Times New Roman" w:hAnsi="Times New Roman" w:cs="Times New Roman"/>
                <w:sz w:val="18"/>
                <w:szCs w:val="18"/>
                <w:lang w:val="en-US" w:eastAsia="zh-CN"/>
              </w:rPr>
            </w:pPr>
            <w:r>
              <w:rPr>
                <w:rFonts w:hint="default" w:ascii="Times New Roman" w:hAnsi="Times New Roman" w:cs="Times New Roman"/>
                <w:sz w:val="18"/>
                <w:szCs w:val="18"/>
              </w:rPr>
              <w:t>OC Stock (Mg/ha)</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108" w:type="dxa"/>
          </w:tblCellMar>
        </w:tblPrEx>
        <w:tc>
          <w:tcPr>
            <w:tcW w:w="3284" w:type="dxa"/>
            <w:tcBorders>
              <w:top w:val="single" w:color="auto" w:sz="4" w:space="0"/>
            </w:tcBorders>
            <w:vAlign w:val="top"/>
          </w:tcPr>
          <w:p>
            <w:pP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IR farm</w:t>
            </w:r>
          </w:p>
        </w:tc>
        <w:tc>
          <w:tcPr>
            <w:tcW w:w="3285" w:type="dxa"/>
            <w:tcBorders>
              <w:top w:val="single" w:color="auto" w:sz="4" w:space="0"/>
            </w:tcBorders>
            <w:vAlign w:val="top"/>
          </w:tcPr>
          <w:p>
            <w:pP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1.24</w:t>
            </w:r>
          </w:p>
        </w:tc>
        <w:tc>
          <w:tcPr>
            <w:tcW w:w="3285" w:type="dxa"/>
            <w:tcBorders>
              <w:top w:val="single" w:color="auto" w:sz="4" w:space="0"/>
            </w:tcBorders>
            <w:vAlign w:val="top"/>
          </w:tcPr>
          <w:p>
            <w:pPr>
              <w:rPr>
                <w:rFonts w:hint="default" w:ascii="Times New Roman" w:hAnsi="Times New Roman" w:cs="Times New Roman"/>
                <w:sz w:val="18"/>
                <w:szCs w:val="18"/>
                <w:lang w:val="en-US" w:eastAsia="zh-CN"/>
              </w:rPr>
            </w:pP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108" w:type="dxa"/>
          </w:tblCellMar>
        </w:tblPrEx>
        <w:tc>
          <w:tcPr>
            <w:tcW w:w="3284" w:type="dxa"/>
            <w:tcBorders>
              <w:tl2br w:val="nil"/>
              <w:tr2bl w:val="nil"/>
            </w:tcBorders>
            <w:vAlign w:val="top"/>
          </w:tcPr>
          <w:p>
            <w:pPr>
              <w:rPr>
                <w:rFonts w:hint="default" w:ascii="Times New Roman" w:hAnsi="Times New Roman" w:cs="Times New Roman"/>
                <w:sz w:val="18"/>
                <w:szCs w:val="18"/>
                <w:lang w:val="en-US" w:eastAsia="zh-CN"/>
              </w:rPr>
            </w:pPr>
            <w:r>
              <w:rPr>
                <w:rFonts w:hint="default" w:ascii="Times New Roman" w:hAnsi="Times New Roman" w:cs="Times New Roman"/>
                <w:sz w:val="18"/>
                <w:szCs w:val="18"/>
              </w:rPr>
              <w:t>Grassland</w:t>
            </w:r>
          </w:p>
        </w:tc>
        <w:tc>
          <w:tcPr>
            <w:tcW w:w="3285" w:type="dxa"/>
            <w:tcBorders>
              <w:tl2br w:val="nil"/>
              <w:tr2bl w:val="nil"/>
            </w:tcBorders>
            <w:vAlign w:val="top"/>
          </w:tcPr>
          <w:p>
            <w:pPr>
              <w:rPr>
                <w:rFonts w:hint="default" w:ascii="Times New Roman" w:hAnsi="Times New Roman" w:cs="Times New Roman"/>
                <w:sz w:val="18"/>
                <w:szCs w:val="18"/>
                <w:lang w:val="en-US" w:eastAsia="zh-CN"/>
              </w:rPr>
            </w:pPr>
          </w:p>
        </w:tc>
        <w:tc>
          <w:tcPr>
            <w:tcW w:w="3285" w:type="dxa"/>
            <w:tcBorders>
              <w:tl2br w:val="nil"/>
              <w:tr2bl w:val="nil"/>
            </w:tcBorders>
            <w:vAlign w:val="top"/>
          </w:tcPr>
          <w:p>
            <w:pP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85.9</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108" w:type="dxa"/>
          </w:tblCellMar>
        </w:tblPrEx>
        <w:tc>
          <w:tcPr>
            <w:tcW w:w="3284" w:type="dxa"/>
            <w:tcBorders>
              <w:tl2br w:val="nil"/>
              <w:tr2bl w:val="nil"/>
            </w:tcBorders>
            <w:vAlign w:val="top"/>
          </w:tcPr>
          <w:p>
            <w:pPr>
              <w:rPr>
                <w:rFonts w:hint="default" w:ascii="Times New Roman" w:hAnsi="Times New Roman" w:cs="Times New Roman"/>
                <w:sz w:val="18"/>
                <w:szCs w:val="18"/>
                <w:lang w:val="en-US" w:eastAsia="zh-CN"/>
              </w:rPr>
            </w:pPr>
            <w:r>
              <w:rPr>
                <w:rFonts w:hint="default" w:ascii="Times New Roman" w:hAnsi="Times New Roman" w:cs="Times New Roman"/>
                <w:sz w:val="18"/>
                <w:szCs w:val="18"/>
              </w:rPr>
              <w:t>Low-yield</w:t>
            </w:r>
          </w:p>
        </w:tc>
        <w:tc>
          <w:tcPr>
            <w:tcW w:w="3285" w:type="dxa"/>
            <w:tcBorders>
              <w:tl2br w:val="nil"/>
              <w:tr2bl w:val="nil"/>
            </w:tcBorders>
            <w:vAlign w:val="top"/>
          </w:tcPr>
          <w:p>
            <w:pPr>
              <w:rPr>
                <w:rFonts w:hint="default" w:ascii="Times New Roman" w:hAnsi="Times New Roman" w:cs="Times New Roman"/>
                <w:sz w:val="18"/>
                <w:szCs w:val="18"/>
                <w:lang w:val="en-US" w:eastAsia="zh-CN"/>
              </w:rPr>
            </w:pPr>
          </w:p>
        </w:tc>
        <w:tc>
          <w:tcPr>
            <w:tcW w:w="3285" w:type="dxa"/>
            <w:tcBorders>
              <w:tl2br w:val="nil"/>
              <w:tr2bl w:val="nil"/>
            </w:tcBorders>
            <w:vAlign w:val="top"/>
          </w:tcPr>
          <w:p>
            <w:pP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84.1</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108" w:type="dxa"/>
          </w:tblCellMar>
        </w:tblPrEx>
        <w:tc>
          <w:tcPr>
            <w:tcW w:w="3284" w:type="dxa"/>
            <w:tcBorders>
              <w:tl2br w:val="nil"/>
              <w:tr2bl w:val="nil"/>
            </w:tcBorders>
            <w:vAlign w:val="top"/>
          </w:tcPr>
          <w:p>
            <w:pPr>
              <w:rPr>
                <w:rFonts w:hint="default" w:ascii="Times New Roman" w:hAnsi="Times New Roman" w:cs="Times New Roman"/>
                <w:sz w:val="18"/>
                <w:szCs w:val="18"/>
                <w:lang w:val="en-US" w:eastAsia="zh-CN"/>
              </w:rPr>
            </w:pPr>
            <w:r>
              <w:rPr>
                <w:rFonts w:hint="default" w:ascii="Times New Roman" w:hAnsi="Times New Roman" w:cs="Times New Roman"/>
                <w:sz w:val="18"/>
                <w:szCs w:val="18"/>
              </w:rPr>
              <w:t>Productive</w:t>
            </w:r>
          </w:p>
        </w:tc>
        <w:tc>
          <w:tcPr>
            <w:tcW w:w="3285" w:type="dxa"/>
            <w:tcBorders>
              <w:tl2br w:val="nil"/>
              <w:tr2bl w:val="nil"/>
            </w:tcBorders>
            <w:vAlign w:val="top"/>
          </w:tcPr>
          <w:p>
            <w:pPr>
              <w:rPr>
                <w:rFonts w:hint="default" w:ascii="Times New Roman" w:hAnsi="Times New Roman" w:cs="Times New Roman"/>
                <w:sz w:val="18"/>
                <w:szCs w:val="18"/>
                <w:lang w:val="en-US" w:eastAsia="zh-CN"/>
              </w:rPr>
            </w:pPr>
          </w:p>
        </w:tc>
        <w:tc>
          <w:tcPr>
            <w:tcW w:w="3285" w:type="dxa"/>
            <w:tcBorders>
              <w:tl2br w:val="nil"/>
              <w:tr2bl w:val="nil"/>
            </w:tcBorders>
            <w:vAlign w:val="top"/>
          </w:tcPr>
          <w:p>
            <w:pP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159.6</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108" w:type="dxa"/>
          </w:tblCellMar>
        </w:tblPrEx>
        <w:tc>
          <w:tcPr>
            <w:tcW w:w="3284" w:type="dxa"/>
            <w:tcBorders>
              <w:tl2br w:val="nil"/>
              <w:tr2bl w:val="nil"/>
            </w:tcBorders>
            <w:vAlign w:val="top"/>
          </w:tcPr>
          <w:p>
            <w:pP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BT farm</w:t>
            </w:r>
          </w:p>
        </w:tc>
        <w:tc>
          <w:tcPr>
            <w:tcW w:w="3285" w:type="dxa"/>
            <w:tcBorders>
              <w:tl2br w:val="nil"/>
              <w:tr2bl w:val="nil"/>
            </w:tcBorders>
            <w:vAlign w:val="top"/>
          </w:tcPr>
          <w:p>
            <w:pP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1.40</w:t>
            </w:r>
          </w:p>
        </w:tc>
        <w:tc>
          <w:tcPr>
            <w:tcW w:w="3285" w:type="dxa"/>
            <w:tcBorders>
              <w:tl2br w:val="nil"/>
              <w:tr2bl w:val="nil"/>
            </w:tcBorders>
            <w:vAlign w:val="top"/>
          </w:tcPr>
          <w:p>
            <w:pPr>
              <w:rPr>
                <w:rFonts w:hint="default" w:ascii="Times New Roman" w:hAnsi="Times New Roman" w:cs="Times New Roman"/>
                <w:sz w:val="18"/>
                <w:szCs w:val="18"/>
                <w:lang w:val="en-US" w:eastAsia="zh-CN"/>
              </w:rPr>
            </w:pP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108" w:type="dxa"/>
          </w:tblCellMar>
        </w:tblPrEx>
        <w:tc>
          <w:tcPr>
            <w:tcW w:w="3284" w:type="dxa"/>
            <w:tcBorders>
              <w:tl2br w:val="nil"/>
              <w:tr2bl w:val="nil"/>
            </w:tcBorders>
            <w:vAlign w:val="top"/>
          </w:tcPr>
          <w:p>
            <w:pP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Turfed orchard (since 1992)</w:t>
            </w:r>
          </w:p>
        </w:tc>
        <w:tc>
          <w:tcPr>
            <w:tcW w:w="3285" w:type="dxa"/>
            <w:tcBorders>
              <w:tl2br w:val="nil"/>
              <w:tr2bl w:val="nil"/>
            </w:tcBorders>
            <w:vAlign w:val="top"/>
          </w:tcPr>
          <w:p>
            <w:pPr>
              <w:rPr>
                <w:rFonts w:hint="default" w:ascii="Times New Roman" w:hAnsi="Times New Roman" w:cs="Times New Roman"/>
                <w:sz w:val="18"/>
                <w:szCs w:val="18"/>
                <w:lang w:val="en-US" w:eastAsia="zh-CN"/>
              </w:rPr>
            </w:pPr>
          </w:p>
        </w:tc>
        <w:tc>
          <w:tcPr>
            <w:tcW w:w="3285" w:type="dxa"/>
            <w:tcBorders>
              <w:tl2br w:val="nil"/>
              <w:tr2bl w:val="nil"/>
            </w:tcBorders>
            <w:vAlign w:val="top"/>
          </w:tcPr>
          <w:p>
            <w:pP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40.3</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108" w:type="dxa"/>
          </w:tblCellMar>
        </w:tblPrEx>
        <w:tc>
          <w:tcPr>
            <w:tcW w:w="3284" w:type="dxa"/>
            <w:tcBorders>
              <w:tl2br w:val="nil"/>
              <w:tr2bl w:val="nil"/>
            </w:tcBorders>
            <w:vAlign w:val="top"/>
          </w:tcPr>
          <w:p>
            <w:pP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Vegetable garden (since 1992)</w:t>
            </w:r>
          </w:p>
        </w:tc>
        <w:tc>
          <w:tcPr>
            <w:tcW w:w="3285" w:type="dxa"/>
            <w:tcBorders>
              <w:tl2br w:val="nil"/>
              <w:tr2bl w:val="nil"/>
            </w:tcBorders>
            <w:vAlign w:val="top"/>
          </w:tcPr>
          <w:p>
            <w:pPr>
              <w:rPr>
                <w:rFonts w:hint="default" w:ascii="Times New Roman" w:hAnsi="Times New Roman" w:cs="Times New Roman"/>
                <w:sz w:val="18"/>
                <w:szCs w:val="18"/>
                <w:lang w:val="en-US" w:eastAsia="zh-CN"/>
              </w:rPr>
            </w:pPr>
          </w:p>
        </w:tc>
        <w:tc>
          <w:tcPr>
            <w:tcW w:w="3285" w:type="dxa"/>
            <w:tcBorders>
              <w:tl2br w:val="nil"/>
              <w:tr2bl w:val="nil"/>
            </w:tcBorders>
            <w:vAlign w:val="top"/>
          </w:tcPr>
          <w:p>
            <w:pP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48.3</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108" w:type="dxa"/>
          </w:tblCellMar>
        </w:tblPrEx>
        <w:tc>
          <w:tcPr>
            <w:tcW w:w="3284" w:type="dxa"/>
            <w:tcBorders>
              <w:tl2br w:val="nil"/>
              <w:tr2bl w:val="nil"/>
            </w:tcBorders>
            <w:vAlign w:val="top"/>
          </w:tcPr>
          <w:p>
            <w:pP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Turfed orchard (since 2007)</w:t>
            </w:r>
          </w:p>
        </w:tc>
        <w:tc>
          <w:tcPr>
            <w:tcW w:w="3285" w:type="dxa"/>
            <w:tcBorders>
              <w:tl2br w:val="nil"/>
              <w:tr2bl w:val="nil"/>
            </w:tcBorders>
            <w:vAlign w:val="top"/>
          </w:tcPr>
          <w:p>
            <w:pPr>
              <w:rPr>
                <w:rFonts w:hint="default" w:ascii="Times New Roman" w:hAnsi="Times New Roman" w:cs="Times New Roman"/>
                <w:sz w:val="18"/>
                <w:szCs w:val="18"/>
                <w:lang w:val="en-US" w:eastAsia="zh-CN"/>
              </w:rPr>
            </w:pPr>
          </w:p>
        </w:tc>
        <w:tc>
          <w:tcPr>
            <w:tcW w:w="3285" w:type="dxa"/>
            <w:tcBorders>
              <w:tl2br w:val="nil"/>
              <w:tr2bl w:val="nil"/>
            </w:tcBorders>
            <w:vAlign w:val="top"/>
          </w:tcPr>
          <w:p>
            <w:pP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43.7</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108" w:type="dxa"/>
          </w:tblCellMar>
        </w:tblPrEx>
        <w:tc>
          <w:tcPr>
            <w:tcW w:w="3284" w:type="dxa"/>
            <w:tcBorders>
              <w:tl2br w:val="nil"/>
              <w:tr2bl w:val="nil"/>
            </w:tcBorders>
            <w:vAlign w:val="top"/>
          </w:tcPr>
          <w:p>
            <w:pP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Vegetable garden (since 2007)</w:t>
            </w:r>
          </w:p>
        </w:tc>
        <w:tc>
          <w:tcPr>
            <w:tcW w:w="3285" w:type="dxa"/>
            <w:tcBorders>
              <w:tl2br w:val="nil"/>
              <w:tr2bl w:val="nil"/>
            </w:tcBorders>
            <w:vAlign w:val="top"/>
          </w:tcPr>
          <w:p>
            <w:pPr>
              <w:rPr>
                <w:rFonts w:hint="default" w:ascii="Times New Roman" w:hAnsi="Times New Roman" w:cs="Times New Roman"/>
                <w:sz w:val="18"/>
                <w:szCs w:val="18"/>
                <w:lang w:val="en-US" w:eastAsia="zh-CN"/>
              </w:rPr>
            </w:pPr>
          </w:p>
        </w:tc>
        <w:tc>
          <w:tcPr>
            <w:tcW w:w="3285" w:type="dxa"/>
            <w:tcBorders>
              <w:tl2br w:val="nil"/>
              <w:tr2bl w:val="nil"/>
            </w:tcBorders>
            <w:vAlign w:val="top"/>
          </w:tcPr>
          <w:p>
            <w:pP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41.4</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108" w:type="dxa"/>
          </w:tblCellMar>
        </w:tblPrEx>
        <w:tc>
          <w:tcPr>
            <w:tcW w:w="3284" w:type="dxa"/>
            <w:tcBorders>
              <w:tl2br w:val="nil"/>
              <w:tr2bl w:val="nil"/>
            </w:tcBorders>
            <w:vAlign w:val="top"/>
          </w:tcPr>
          <w:p>
            <w:pP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Vegetable garden (since 1996)</w:t>
            </w:r>
          </w:p>
        </w:tc>
        <w:tc>
          <w:tcPr>
            <w:tcW w:w="3285" w:type="dxa"/>
            <w:tcBorders>
              <w:tl2br w:val="nil"/>
              <w:tr2bl w:val="nil"/>
            </w:tcBorders>
            <w:vAlign w:val="top"/>
          </w:tcPr>
          <w:p>
            <w:pPr>
              <w:rPr>
                <w:rFonts w:hint="default" w:ascii="Times New Roman" w:hAnsi="Times New Roman" w:cs="Times New Roman"/>
                <w:sz w:val="18"/>
                <w:szCs w:val="18"/>
                <w:lang w:val="en-US" w:eastAsia="zh-CN"/>
              </w:rPr>
            </w:pPr>
          </w:p>
        </w:tc>
        <w:tc>
          <w:tcPr>
            <w:tcW w:w="3285" w:type="dxa"/>
            <w:tcBorders>
              <w:tl2br w:val="nil"/>
              <w:tr2bl w:val="nil"/>
            </w:tcBorders>
            <w:vAlign w:val="top"/>
          </w:tcPr>
          <w:p>
            <w:pP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40.4</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108" w:type="dxa"/>
          </w:tblCellMar>
        </w:tblPrEx>
        <w:tc>
          <w:tcPr>
            <w:tcW w:w="3284" w:type="dxa"/>
            <w:tcBorders>
              <w:tl2br w:val="nil"/>
              <w:tr2bl w:val="nil"/>
            </w:tcBorders>
            <w:vAlign w:val="top"/>
          </w:tcPr>
          <w:p>
            <w:pP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Harrowed</w:t>
            </w:r>
          </w:p>
        </w:tc>
        <w:tc>
          <w:tcPr>
            <w:tcW w:w="3285" w:type="dxa"/>
            <w:tcBorders>
              <w:tl2br w:val="nil"/>
              <w:tr2bl w:val="nil"/>
            </w:tcBorders>
            <w:vAlign w:val="top"/>
          </w:tcPr>
          <w:p>
            <w:pP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1.13</w:t>
            </w:r>
          </w:p>
        </w:tc>
        <w:tc>
          <w:tcPr>
            <w:tcW w:w="3285" w:type="dxa"/>
            <w:tcBorders>
              <w:tl2br w:val="nil"/>
              <w:tr2bl w:val="nil"/>
            </w:tcBorders>
            <w:vAlign w:val="top"/>
          </w:tcPr>
          <w:p>
            <w:pP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33.0</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108" w:type="dxa"/>
          </w:tblCellMar>
        </w:tblPrEx>
        <w:tc>
          <w:tcPr>
            <w:tcW w:w="3284" w:type="dxa"/>
            <w:tcBorders>
              <w:tl2br w:val="nil"/>
              <w:tr2bl w:val="nil"/>
            </w:tcBorders>
            <w:vAlign w:val="top"/>
          </w:tcPr>
          <w:p>
            <w:pP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Strawberry (since 1996)</w:t>
            </w:r>
          </w:p>
        </w:tc>
        <w:tc>
          <w:tcPr>
            <w:tcW w:w="3285" w:type="dxa"/>
            <w:tcBorders>
              <w:tl2br w:val="nil"/>
              <w:tr2bl w:val="nil"/>
            </w:tcBorders>
            <w:vAlign w:val="top"/>
          </w:tcPr>
          <w:p>
            <w:pPr>
              <w:rPr>
                <w:rFonts w:hint="default" w:ascii="Times New Roman" w:hAnsi="Times New Roman" w:cs="Times New Roman"/>
                <w:sz w:val="18"/>
                <w:szCs w:val="18"/>
                <w:lang w:val="en-US" w:eastAsia="zh-CN"/>
              </w:rPr>
            </w:pPr>
          </w:p>
        </w:tc>
        <w:tc>
          <w:tcPr>
            <w:tcW w:w="3285" w:type="dxa"/>
            <w:tcBorders>
              <w:tl2br w:val="nil"/>
              <w:tr2bl w:val="nil"/>
            </w:tcBorders>
            <w:vAlign w:val="top"/>
          </w:tcPr>
          <w:p>
            <w:pP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37.4</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108" w:type="dxa"/>
          </w:tblCellMar>
        </w:tblPrEx>
        <w:tc>
          <w:tcPr>
            <w:tcW w:w="3284" w:type="dxa"/>
            <w:tcBorders>
              <w:tl2br w:val="nil"/>
              <w:tr2bl w:val="nil"/>
            </w:tcBorders>
            <w:vAlign w:val="top"/>
          </w:tcPr>
          <w:p>
            <w:pP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MV farm</w:t>
            </w:r>
          </w:p>
        </w:tc>
        <w:tc>
          <w:tcPr>
            <w:tcW w:w="3285" w:type="dxa"/>
            <w:tcBorders>
              <w:tl2br w:val="nil"/>
              <w:tr2bl w:val="nil"/>
            </w:tcBorders>
            <w:vAlign w:val="top"/>
          </w:tcPr>
          <w:p>
            <w:pPr>
              <w:rPr>
                <w:rFonts w:hint="default" w:ascii="Times New Roman" w:hAnsi="Times New Roman" w:cs="Times New Roman"/>
                <w:sz w:val="18"/>
                <w:szCs w:val="18"/>
                <w:lang w:val="en-US" w:eastAsia="zh-CN"/>
              </w:rPr>
            </w:pPr>
          </w:p>
        </w:tc>
        <w:tc>
          <w:tcPr>
            <w:tcW w:w="3285" w:type="dxa"/>
            <w:tcBorders>
              <w:tl2br w:val="nil"/>
              <w:tr2bl w:val="nil"/>
            </w:tcBorders>
            <w:vAlign w:val="top"/>
          </w:tcPr>
          <w:p>
            <w:pPr>
              <w:rPr>
                <w:rFonts w:hint="default" w:ascii="Times New Roman" w:hAnsi="Times New Roman" w:cs="Times New Roman"/>
                <w:sz w:val="18"/>
                <w:szCs w:val="18"/>
                <w:lang w:val="en-US" w:eastAsia="zh-CN"/>
              </w:rPr>
            </w:pP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108" w:type="dxa"/>
          </w:tblCellMar>
        </w:tblPrEx>
        <w:tc>
          <w:tcPr>
            <w:tcW w:w="3284" w:type="dxa"/>
            <w:tcBorders>
              <w:tl2br w:val="nil"/>
              <w:tr2bl w:val="nil"/>
            </w:tcBorders>
            <w:vAlign w:val="top"/>
          </w:tcPr>
          <w:p>
            <w:pP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1-year-old pear orchard nursery</w:t>
            </w:r>
          </w:p>
        </w:tc>
        <w:tc>
          <w:tcPr>
            <w:tcW w:w="3285" w:type="dxa"/>
            <w:tcBorders>
              <w:tl2br w:val="nil"/>
              <w:tr2bl w:val="nil"/>
            </w:tcBorders>
            <w:vAlign w:val="top"/>
          </w:tcPr>
          <w:p>
            <w:pPr>
              <w:rPr>
                <w:rFonts w:hint="default" w:ascii="Times New Roman" w:hAnsi="Times New Roman" w:cs="Times New Roman"/>
                <w:sz w:val="18"/>
                <w:szCs w:val="18"/>
                <w:lang w:val="en-US" w:eastAsia="zh-CN"/>
              </w:rPr>
            </w:pPr>
          </w:p>
        </w:tc>
        <w:tc>
          <w:tcPr>
            <w:tcW w:w="3285" w:type="dxa"/>
            <w:tcBorders>
              <w:tl2br w:val="nil"/>
              <w:tr2bl w:val="nil"/>
            </w:tcBorders>
            <w:vAlign w:val="top"/>
          </w:tcPr>
          <w:p>
            <w:pP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267.3</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108" w:type="dxa"/>
          </w:tblCellMar>
        </w:tblPrEx>
        <w:tc>
          <w:tcPr>
            <w:tcW w:w="3284" w:type="dxa"/>
            <w:tcBorders>
              <w:tl2br w:val="nil"/>
              <w:tr2bl w:val="nil"/>
            </w:tcBorders>
            <w:vAlign w:val="top"/>
          </w:tcPr>
          <w:p>
            <w:pP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2-year-old pear orchard nursery</w:t>
            </w:r>
          </w:p>
        </w:tc>
        <w:tc>
          <w:tcPr>
            <w:tcW w:w="3285" w:type="dxa"/>
            <w:tcBorders>
              <w:tl2br w:val="nil"/>
              <w:tr2bl w:val="nil"/>
            </w:tcBorders>
            <w:vAlign w:val="top"/>
          </w:tcPr>
          <w:p>
            <w:pPr>
              <w:rPr>
                <w:rFonts w:hint="default" w:ascii="Times New Roman" w:hAnsi="Times New Roman" w:cs="Times New Roman"/>
                <w:sz w:val="18"/>
                <w:szCs w:val="18"/>
                <w:lang w:val="en-US" w:eastAsia="zh-CN"/>
              </w:rPr>
            </w:pPr>
          </w:p>
        </w:tc>
        <w:tc>
          <w:tcPr>
            <w:tcW w:w="3285" w:type="dxa"/>
            <w:tcBorders>
              <w:tl2br w:val="nil"/>
              <w:tr2bl w:val="nil"/>
            </w:tcBorders>
            <w:vAlign w:val="top"/>
          </w:tcPr>
          <w:p>
            <w:pP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248.0</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108" w:type="dxa"/>
          </w:tblCellMar>
        </w:tblPrEx>
        <w:tc>
          <w:tcPr>
            <w:tcW w:w="3284" w:type="dxa"/>
            <w:tcBorders>
              <w:tl2br w:val="nil"/>
              <w:tr2bl w:val="nil"/>
            </w:tcBorders>
            <w:vAlign w:val="top"/>
          </w:tcPr>
          <w:p>
            <w:pP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3-year-old pear orchard nursery</w:t>
            </w:r>
          </w:p>
        </w:tc>
        <w:tc>
          <w:tcPr>
            <w:tcW w:w="3285" w:type="dxa"/>
            <w:tcBorders>
              <w:tl2br w:val="nil"/>
              <w:tr2bl w:val="nil"/>
            </w:tcBorders>
            <w:vAlign w:val="top"/>
          </w:tcPr>
          <w:p>
            <w:pPr>
              <w:rPr>
                <w:rFonts w:hint="default" w:ascii="Times New Roman" w:hAnsi="Times New Roman" w:cs="Times New Roman"/>
                <w:sz w:val="18"/>
                <w:szCs w:val="18"/>
                <w:lang w:val="en-US" w:eastAsia="zh-CN"/>
              </w:rPr>
            </w:pPr>
          </w:p>
        </w:tc>
        <w:tc>
          <w:tcPr>
            <w:tcW w:w="3285" w:type="dxa"/>
            <w:tcBorders>
              <w:tl2br w:val="nil"/>
              <w:tr2bl w:val="nil"/>
            </w:tcBorders>
            <w:vAlign w:val="top"/>
          </w:tcPr>
          <w:p>
            <w:pP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228.6</w:t>
            </w:r>
          </w:p>
        </w:tc>
      </w:tr>
    </w:tbl>
    <w:p>
      <w:pPr>
        <w:rPr>
          <w:rFonts w:hint="default" w:ascii="Times New Roman" w:hAnsi="Times New Roman" w:cs="Times New Roman"/>
          <w:sz w:val="21"/>
          <w:szCs w:val="21"/>
        </w:rPr>
      </w:pPr>
    </w:p>
    <w:p>
      <w:pPr>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Future Perspectives in Low-Carbon Agriculture</w:t>
      </w:r>
    </w:p>
    <w:p>
      <w:pPr>
        <w:rPr>
          <w:rFonts w:hint="default" w:ascii="Times New Roman" w:hAnsi="Times New Roman" w:cs="Times New Roman"/>
          <w:b/>
          <w:bCs/>
          <w:sz w:val="21"/>
          <w:szCs w:val="21"/>
        </w:rPr>
      </w:pPr>
      <w:r>
        <w:rPr>
          <w:rFonts w:hint="default" w:ascii="Times New Roman" w:hAnsi="Times New Roman" w:cs="Times New Roman"/>
          <w:b/>
          <w:bCs/>
          <w:sz w:val="21"/>
          <w:szCs w:val="21"/>
          <w:lang w:val="en-US" w:eastAsia="zh-CN"/>
        </w:rPr>
        <w:t xml:space="preserve">8.1 </w:t>
      </w:r>
      <w:r>
        <w:rPr>
          <w:rFonts w:hint="default" w:ascii="Times New Roman" w:hAnsi="Times New Roman" w:cs="Times New Roman"/>
          <w:b/>
          <w:bCs/>
          <w:sz w:val="21"/>
          <w:szCs w:val="21"/>
        </w:rPr>
        <w:t>Technological innovations</w:t>
      </w:r>
    </w:p>
    <w:p>
      <w:pPr>
        <w:rPr>
          <w:rFonts w:hint="default" w:ascii="Times New Roman" w:hAnsi="Times New Roman" w:cs="Times New Roman"/>
          <w:sz w:val="21"/>
          <w:szCs w:val="21"/>
        </w:rPr>
      </w:pPr>
      <w:r>
        <w:rPr>
          <w:rFonts w:hint="default" w:ascii="Times New Roman" w:hAnsi="Times New Roman" w:cs="Times New Roman"/>
          <w:sz w:val="21"/>
          <w:szCs w:val="21"/>
        </w:rPr>
        <w:t>Precision agriculture technologies are pivotal in optimizing resource use and enhancing carbon sequestration in agricultural systems. By employing tools such as remote sensing, GPS, and data analytics, precision agriculture can tailor inputs like water, fertilizers, and pesticides to the specific needs of crops, thereby reducing waste and emissions. For instance, simulation models have demonstrated that precision agriculture can significantly reduce soil organic carbon (SOC) losses and greenhouse gas (GHG) emissions by optimizing tillage practices and input</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management</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Cillis</w:t>
      </w:r>
      <w:r>
        <w:rPr>
          <w:rFonts w:hint="default" w:ascii="Times New Roman" w:hAnsi="Times New Roman" w:cs="Times New Roman"/>
          <w:sz w:val="21"/>
          <w:szCs w:val="21"/>
          <w:lang w:val="en-US" w:eastAsia="zh-CN"/>
        </w:rPr>
        <w:t xml:space="preserve"> et al., 2018)</w:t>
      </w:r>
      <w:r>
        <w:rPr>
          <w:rFonts w:hint="default" w:ascii="Times New Roman" w:hAnsi="Times New Roman" w:cs="Times New Roman"/>
          <w:sz w:val="21"/>
          <w:szCs w:val="21"/>
        </w:rPr>
        <w:t>. Additionally, precision agriculture can help in monitoring and managing soil health, which is crucial for maintaining high levels of SOC and ensuring sustainable crop</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production</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Bai</w:t>
      </w:r>
      <w:r>
        <w:rPr>
          <w:rFonts w:hint="default" w:ascii="Times New Roman" w:hAnsi="Times New Roman" w:cs="Times New Roman"/>
          <w:sz w:val="21"/>
          <w:szCs w:val="21"/>
          <w:lang w:val="en-US" w:eastAsia="zh-CN"/>
        </w:rPr>
        <w:t xml:space="preserve"> et al., 2019; </w:t>
      </w:r>
      <w:r>
        <w:rPr>
          <w:rFonts w:hint="default" w:ascii="Times New Roman" w:hAnsi="Times New Roman" w:cs="Times New Roman"/>
          <w:sz w:val="21"/>
          <w:szCs w:val="21"/>
        </w:rPr>
        <w:t>Tiefenbacher</w:t>
      </w:r>
      <w:r>
        <w:rPr>
          <w:rFonts w:hint="default" w:ascii="Times New Roman" w:hAnsi="Times New Roman" w:cs="Times New Roman"/>
          <w:sz w:val="21"/>
          <w:szCs w:val="21"/>
          <w:lang w:val="en-US" w:eastAsia="zh-CN"/>
        </w:rPr>
        <w:t xml:space="preserve"> et al., 2021)</w:t>
      </w:r>
      <w:r>
        <w:rPr>
          <w:rFonts w:hint="default" w:ascii="Times New Roman" w:hAnsi="Times New Roman" w:cs="Times New Roman"/>
          <w:sz w:val="21"/>
          <w:szCs w:val="21"/>
        </w:rPr>
        <w:t>.</w:t>
      </w:r>
    </w:p>
    <w:p>
      <w:pPr>
        <w:rPr>
          <w:rFonts w:hint="default" w:ascii="Times New Roman" w:hAnsi="Times New Roman" w:cs="Times New Roman"/>
          <w:sz w:val="21"/>
          <w:szCs w:val="21"/>
        </w:rPr>
      </w:pPr>
      <w:r>
        <w:rPr>
          <w:rFonts w:hint="default" w:ascii="Times New Roman" w:hAnsi="Times New Roman" w:cs="Times New Roman"/>
          <w:sz w:val="21"/>
          <w:szCs w:val="21"/>
        </w:rPr>
        <w:t>Smart farming technologies, including the use of sensors, drones, and autonomous machinery, offer innovative solutions for reducing the carbon footprint of agriculture. These technologies enable real-time monitoring and management of farm operations, leading to more efficient use of resources and lower emissions. For example, the integration of conservation tillage with precision agriculture technologies has been shown to reduce carbon emissions by up to 56% compared to conventional tillage</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practices</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Cillis</w:t>
      </w:r>
      <w:r>
        <w:rPr>
          <w:rFonts w:hint="default" w:ascii="Times New Roman" w:hAnsi="Times New Roman" w:cs="Times New Roman"/>
          <w:sz w:val="21"/>
          <w:szCs w:val="21"/>
          <w:lang w:val="en-US" w:eastAsia="zh-CN"/>
        </w:rPr>
        <w:t xml:space="preserve"> et al., 2018)</w:t>
      </w:r>
      <w:r>
        <w:rPr>
          <w:rFonts w:hint="default" w:ascii="Times New Roman" w:hAnsi="Times New Roman" w:cs="Times New Roman"/>
          <w:sz w:val="21"/>
          <w:szCs w:val="21"/>
        </w:rPr>
        <w:t>. Moreover, advancements in digital agriculture and crop genetics have the potential to significantly reduce GHG emissions from row-crop farming, although widespread adoption remains a challenge due to economic and infrastructural</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barriers</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Amundson, 2022</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rPr>
        <w:t>.</w:t>
      </w:r>
    </w:p>
    <w:p>
      <w:pPr>
        <w:rPr>
          <w:rFonts w:hint="default" w:ascii="Times New Roman" w:hAnsi="Times New Roman" w:cs="Times New Roman"/>
          <w:b/>
          <w:bCs/>
          <w:sz w:val="21"/>
          <w:szCs w:val="21"/>
        </w:rPr>
      </w:pPr>
      <w:r>
        <w:rPr>
          <w:rFonts w:hint="default" w:ascii="Times New Roman" w:hAnsi="Times New Roman" w:cs="Times New Roman"/>
          <w:b/>
          <w:bCs/>
          <w:sz w:val="21"/>
          <w:szCs w:val="21"/>
          <w:lang w:val="en-US" w:eastAsia="zh-CN"/>
        </w:rPr>
        <w:t xml:space="preserve">8.2 </w:t>
      </w:r>
      <w:r>
        <w:rPr>
          <w:rFonts w:hint="default" w:ascii="Times New Roman" w:hAnsi="Times New Roman" w:cs="Times New Roman"/>
          <w:b/>
          <w:bCs/>
          <w:sz w:val="21"/>
          <w:szCs w:val="21"/>
        </w:rPr>
        <w:t>Education and capacity building</w:t>
      </w:r>
    </w:p>
    <w:p>
      <w:pPr>
        <w:rPr>
          <w:rFonts w:hint="default" w:ascii="Times New Roman" w:hAnsi="Times New Roman" w:cs="Times New Roman"/>
          <w:sz w:val="21"/>
          <w:szCs w:val="21"/>
        </w:rPr>
      </w:pPr>
      <w:r>
        <w:rPr>
          <w:rFonts w:hint="default" w:ascii="Times New Roman" w:hAnsi="Times New Roman" w:cs="Times New Roman"/>
          <w:sz w:val="21"/>
          <w:szCs w:val="21"/>
        </w:rPr>
        <w:t>Effective training programs are essential for equipping farmers with the knowledge and skills needed to adopt low-carbon agricultural practices. These programs should focus on the benefits and implementation of practices such as conservation tillage, cover cropping, and biochar application, which have been shown to enhance SOC sequestration and reduce GHG</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emissions</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Bai</w:t>
      </w:r>
      <w:r>
        <w:rPr>
          <w:rFonts w:hint="default" w:ascii="Times New Roman" w:hAnsi="Times New Roman" w:cs="Times New Roman"/>
          <w:sz w:val="21"/>
          <w:szCs w:val="21"/>
          <w:lang w:val="en-US" w:eastAsia="zh-CN"/>
        </w:rPr>
        <w:t xml:space="preserve"> et al., 2019; </w:t>
      </w:r>
      <w:r>
        <w:rPr>
          <w:rFonts w:hint="default" w:ascii="Times New Roman" w:hAnsi="Times New Roman" w:cs="Times New Roman"/>
          <w:sz w:val="21"/>
          <w:szCs w:val="21"/>
        </w:rPr>
        <w:t>Bhattacharyya</w:t>
      </w:r>
      <w:r>
        <w:rPr>
          <w:rFonts w:hint="default" w:ascii="Times New Roman" w:hAnsi="Times New Roman" w:cs="Times New Roman"/>
          <w:sz w:val="21"/>
          <w:szCs w:val="21"/>
          <w:lang w:val="en-US" w:eastAsia="zh-CN"/>
        </w:rPr>
        <w:t xml:space="preserve"> et al., 2021)</w:t>
      </w:r>
      <w:r>
        <w:rPr>
          <w:rFonts w:hint="default" w:ascii="Times New Roman" w:hAnsi="Times New Roman" w:cs="Times New Roman"/>
          <w:sz w:val="21"/>
          <w:szCs w:val="21"/>
        </w:rPr>
        <w:t>. Additionally, training should include the use of precision agriculture and smart farming technologies to optimize resource use and minimize environmental</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impact</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Cillis</w:t>
      </w:r>
      <w:r>
        <w:rPr>
          <w:rFonts w:hint="default" w:ascii="Times New Roman" w:hAnsi="Times New Roman" w:cs="Times New Roman"/>
          <w:sz w:val="21"/>
          <w:szCs w:val="21"/>
          <w:lang w:val="en-US" w:eastAsia="zh-CN"/>
        </w:rPr>
        <w:t xml:space="preserve"> et al., 2018)</w:t>
      </w:r>
      <w:r>
        <w:rPr>
          <w:rFonts w:hint="default" w:ascii="Times New Roman" w:hAnsi="Times New Roman" w:cs="Times New Roman"/>
          <w:sz w:val="21"/>
          <w:szCs w:val="21"/>
        </w:rPr>
        <w:t>. By providing hands-on training and continuous support, farmers can be empowered to make informed decisions that contribute to sustainable agriculture and climate change</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mitigation</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Saikanth</w:t>
      </w:r>
      <w:r>
        <w:rPr>
          <w:rFonts w:hint="default" w:ascii="Times New Roman" w:hAnsi="Times New Roman" w:cs="Times New Roman"/>
          <w:sz w:val="21"/>
          <w:szCs w:val="21"/>
          <w:lang w:val="en-US" w:eastAsia="zh-CN"/>
        </w:rPr>
        <w:t xml:space="preserve"> et al., 2023)</w:t>
      </w:r>
      <w:r>
        <w:rPr>
          <w:rFonts w:hint="default" w:ascii="Times New Roman" w:hAnsi="Times New Roman" w:cs="Times New Roman"/>
          <w:sz w:val="21"/>
          <w:szCs w:val="21"/>
        </w:rPr>
        <w:t>.</w:t>
      </w:r>
    </w:p>
    <w:p>
      <w:pPr>
        <w:rPr>
          <w:rFonts w:hint="default" w:ascii="Times New Roman" w:hAnsi="Times New Roman" w:cs="Times New Roman"/>
          <w:sz w:val="21"/>
          <w:szCs w:val="21"/>
        </w:rPr>
      </w:pPr>
      <w:r>
        <w:rPr>
          <w:rFonts w:hint="default" w:ascii="Times New Roman" w:hAnsi="Times New Roman" w:cs="Times New Roman"/>
          <w:sz w:val="21"/>
          <w:szCs w:val="21"/>
        </w:rPr>
        <w:t>Knowledge dissemination is crucial for the widespread adoption of sustainable agricultural practices. This can be achieved through various channels, including extension services, farmer field schools, and digital platforms. Sharing success stories and best practices can motivate farmers to adopt new techniques and technologies that enhance carbon sequestration and reduce</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emissions</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Lal, 2020</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rPr>
        <w:t>. Furthermore, collaboration between researchers, policymakers, and farmers is necessary to ensure that the latest scientific findings and technological advancements are effectively communicated and implemented at the farm</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level</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Kaur</w:t>
      </w:r>
      <w:r>
        <w:rPr>
          <w:rFonts w:hint="default" w:ascii="Times New Roman" w:hAnsi="Times New Roman" w:cs="Times New Roman"/>
          <w:sz w:val="21"/>
          <w:szCs w:val="21"/>
          <w:lang w:val="en-US" w:eastAsia="zh-CN"/>
        </w:rPr>
        <w:t xml:space="preserve"> et al., 2023; </w:t>
      </w:r>
      <w:r>
        <w:rPr>
          <w:rFonts w:hint="default" w:ascii="Times New Roman" w:hAnsi="Times New Roman" w:cs="Times New Roman"/>
          <w:sz w:val="21"/>
          <w:szCs w:val="21"/>
        </w:rPr>
        <w:t>Rosa</w:t>
      </w:r>
      <w:r>
        <w:rPr>
          <w:rFonts w:hint="default" w:ascii="Times New Roman" w:hAnsi="Times New Roman" w:cs="Times New Roman"/>
          <w:sz w:val="21"/>
          <w:szCs w:val="21"/>
          <w:lang w:val="en-US" w:eastAsia="zh-CN"/>
        </w:rPr>
        <w:t xml:space="preserve"> and </w:t>
      </w:r>
      <w:r>
        <w:rPr>
          <w:rFonts w:hint="default" w:ascii="Times New Roman" w:hAnsi="Times New Roman" w:cs="Times New Roman"/>
          <w:sz w:val="21"/>
          <w:szCs w:val="21"/>
        </w:rPr>
        <w:t>Gabrielli, 2023</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rPr>
        <w:t>.</w:t>
      </w:r>
    </w:p>
    <w:p>
      <w:pPr>
        <w:rPr>
          <w:rFonts w:hint="default" w:ascii="Times New Roman" w:hAnsi="Times New Roman" w:cs="Times New Roman"/>
          <w:b/>
          <w:bCs/>
          <w:sz w:val="21"/>
          <w:szCs w:val="21"/>
        </w:rPr>
      </w:pPr>
      <w:r>
        <w:rPr>
          <w:rFonts w:hint="default" w:ascii="Times New Roman" w:hAnsi="Times New Roman" w:cs="Times New Roman"/>
          <w:b/>
          <w:bCs/>
          <w:sz w:val="21"/>
          <w:szCs w:val="21"/>
          <w:lang w:val="en-US" w:eastAsia="zh-CN"/>
        </w:rPr>
        <w:t xml:space="preserve">8.3 </w:t>
      </w:r>
      <w:r>
        <w:rPr>
          <w:rFonts w:hint="default" w:ascii="Times New Roman" w:hAnsi="Times New Roman" w:cs="Times New Roman"/>
          <w:b/>
          <w:bCs/>
          <w:sz w:val="21"/>
          <w:szCs w:val="21"/>
        </w:rPr>
        <w:t>Global implications</w:t>
      </w:r>
    </w:p>
    <w:p>
      <w:pPr>
        <w:rPr>
          <w:rFonts w:hint="default" w:ascii="Times New Roman" w:hAnsi="Times New Roman" w:cs="Times New Roman"/>
          <w:sz w:val="21"/>
          <w:szCs w:val="21"/>
        </w:rPr>
      </w:pPr>
      <w:r>
        <w:rPr>
          <w:rFonts w:hint="default" w:ascii="Times New Roman" w:hAnsi="Times New Roman" w:cs="Times New Roman"/>
          <w:sz w:val="21"/>
          <w:szCs w:val="21"/>
        </w:rPr>
        <w:t>Low-carbon agriculture has significant implications for global food security. By improving soil health and fertility through practices such as agroforestry, cover cropping, and reduced tillage, agricultural systems can become more resilient to climate change and more</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productive</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Sharma</w:t>
      </w:r>
      <w:r>
        <w:rPr>
          <w:rFonts w:hint="default" w:ascii="Times New Roman" w:hAnsi="Times New Roman" w:cs="Times New Roman"/>
          <w:sz w:val="21"/>
          <w:szCs w:val="21"/>
          <w:lang w:val="en-US" w:eastAsia="zh-CN"/>
        </w:rPr>
        <w:t xml:space="preserve"> et al., 2021; </w:t>
      </w:r>
      <w:r>
        <w:rPr>
          <w:rFonts w:hint="default" w:ascii="Times New Roman" w:hAnsi="Times New Roman" w:cs="Times New Roman"/>
          <w:sz w:val="21"/>
          <w:szCs w:val="21"/>
        </w:rPr>
        <w:t>Saikanth</w:t>
      </w:r>
      <w:r>
        <w:rPr>
          <w:rFonts w:hint="default" w:ascii="Times New Roman" w:hAnsi="Times New Roman" w:cs="Times New Roman"/>
          <w:sz w:val="21"/>
          <w:szCs w:val="21"/>
          <w:lang w:val="en-US" w:eastAsia="zh-CN"/>
        </w:rPr>
        <w:t xml:space="preserve"> et al., 2023)</w:t>
      </w:r>
      <w:r>
        <w:rPr>
          <w:rFonts w:hint="default" w:ascii="Times New Roman" w:hAnsi="Times New Roman" w:cs="Times New Roman"/>
          <w:sz w:val="21"/>
          <w:szCs w:val="21"/>
        </w:rPr>
        <w:t>. Enhanced SOC levels not only sequester carbon but also improve water retention and nutrient availability, leading to higher crop yields and more stable food</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supplies</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Kaur</w:t>
      </w:r>
      <w:r>
        <w:rPr>
          <w:rFonts w:hint="default" w:ascii="Times New Roman" w:hAnsi="Times New Roman" w:cs="Times New Roman"/>
          <w:sz w:val="21"/>
          <w:szCs w:val="21"/>
          <w:lang w:val="en-US" w:eastAsia="zh-CN"/>
        </w:rPr>
        <w:t xml:space="preserve"> et al., 2023)</w:t>
      </w:r>
      <w:r>
        <w:rPr>
          <w:rFonts w:hint="default" w:ascii="Times New Roman" w:hAnsi="Times New Roman" w:cs="Times New Roman"/>
          <w:sz w:val="21"/>
          <w:szCs w:val="21"/>
        </w:rPr>
        <w:t>. This is particularly important for developing countries, where sustainable agricultural practices can play a critical role in ensuring food security and supporting rural</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livelihoods</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Bhattacharyya</w:t>
      </w:r>
      <w:r>
        <w:rPr>
          <w:rFonts w:hint="default" w:ascii="Times New Roman" w:hAnsi="Times New Roman" w:cs="Times New Roman"/>
          <w:sz w:val="21"/>
          <w:szCs w:val="21"/>
          <w:lang w:val="en-US" w:eastAsia="zh-CN"/>
        </w:rPr>
        <w:t xml:space="preserve"> et al., 2021)</w:t>
      </w:r>
      <w:r>
        <w:rPr>
          <w:rFonts w:hint="default" w:ascii="Times New Roman" w:hAnsi="Times New Roman" w:cs="Times New Roman"/>
          <w:sz w:val="21"/>
          <w:szCs w:val="21"/>
        </w:rPr>
        <w:t>.</w:t>
      </w:r>
    </w:p>
    <w:p>
      <w:pPr>
        <w:rPr>
          <w:rFonts w:hint="default" w:ascii="Times New Roman" w:hAnsi="Times New Roman" w:cs="Times New Roman"/>
          <w:sz w:val="21"/>
          <w:szCs w:val="21"/>
        </w:rPr>
      </w:pPr>
      <w:r>
        <w:rPr>
          <w:rFonts w:hint="default" w:ascii="Times New Roman" w:hAnsi="Times New Roman" w:cs="Times New Roman"/>
          <w:sz w:val="21"/>
          <w:szCs w:val="21"/>
        </w:rPr>
        <w:t>Adopting low-carbon agricultural practices aligns with global climate goals, such as those outlined in the Paris Agreement. Practices that enhance carbon sequestration and reduce GHG emissions contribute to the overall reduction of atmospheric CO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 xml:space="preserve"> levels, helping to mitigate climate</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change</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Lal, 2020</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Tiefenbacher</w:t>
      </w:r>
      <w:r>
        <w:rPr>
          <w:rFonts w:hint="default" w:ascii="Times New Roman" w:hAnsi="Times New Roman" w:cs="Times New Roman"/>
          <w:sz w:val="21"/>
          <w:szCs w:val="21"/>
          <w:lang w:val="en-US" w:eastAsia="zh-CN"/>
        </w:rPr>
        <w:t xml:space="preserve"> et al., 2021)</w:t>
      </w:r>
      <w:r>
        <w:rPr>
          <w:rFonts w:hint="default" w:ascii="Times New Roman" w:hAnsi="Times New Roman" w:cs="Times New Roman"/>
          <w:sz w:val="21"/>
          <w:szCs w:val="21"/>
        </w:rPr>
        <w:t>. For instance, the "4 per 1000" initiative aims to increase global SOC stocks by 0.4% per year, which could significantly offset global GHG emissions if widely</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adopted</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Lal, 2020</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rPr>
        <w:t>. By integrating these practices into national and international climate strategies, agriculture can transition from being a major emitter to a key player in climate change</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mitigation</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Amundson, 2022</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Rosa</w:t>
      </w:r>
      <w:r>
        <w:rPr>
          <w:rFonts w:hint="default" w:ascii="Times New Roman" w:hAnsi="Times New Roman" w:cs="Times New Roman"/>
          <w:sz w:val="21"/>
          <w:szCs w:val="21"/>
          <w:lang w:val="en-US" w:eastAsia="zh-CN"/>
        </w:rPr>
        <w:t xml:space="preserve"> and </w:t>
      </w:r>
      <w:r>
        <w:rPr>
          <w:rFonts w:hint="default" w:ascii="Times New Roman" w:hAnsi="Times New Roman" w:cs="Times New Roman"/>
          <w:sz w:val="21"/>
          <w:szCs w:val="21"/>
        </w:rPr>
        <w:t>Gabrielli, 2023</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rPr>
        <w:t>.</w:t>
      </w:r>
    </w:p>
    <w:p>
      <w:pPr>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9 Conclusion</w:t>
      </w:r>
    </w:p>
    <w:p>
      <w:pPr>
        <w:rPr>
          <w:rFonts w:hint="default" w:ascii="Times New Roman" w:hAnsi="Times New Roman" w:cs="Times New Roman"/>
          <w:lang w:val="en-US" w:eastAsia="zh-CN"/>
        </w:rPr>
      </w:pPr>
      <w:r>
        <w:rPr>
          <w:rFonts w:hint="default" w:ascii="Times New Roman" w:hAnsi="Times New Roman" w:cs="Times New Roman"/>
          <w:lang w:val="en-US" w:eastAsia="zh-CN"/>
        </w:rPr>
        <w:t>Advancing carbon sequestration and reducing emissions in agriculture requires a multifaceted approach that integrates innovative practices with supportive policies. Key strategies include the adoption of climate-smart agricultural (CSA) practices such as conservation tillage, cover cropping, and biochar application. These methods have proven effective in enhancing soil organic carbon (SOC) sequestration and minimizing greenhouse gas emissions. Agroforestry, which combines trees with crops and livestock, is particularly noteworthy as it significantly boosts carbon storage both above and below ground.</w:t>
      </w:r>
    </w:p>
    <w:p>
      <w:pPr>
        <w:rPr>
          <w:rFonts w:hint="default" w:ascii="Times New Roman" w:hAnsi="Times New Roman" w:cs="Times New Roman"/>
          <w:lang w:val="en-US" w:eastAsia="zh-CN"/>
        </w:rPr>
      </w:pPr>
      <w:r>
        <w:rPr>
          <w:rFonts w:hint="default" w:ascii="Times New Roman" w:hAnsi="Times New Roman" w:cs="Times New Roman"/>
          <w:lang w:val="en-US" w:eastAsia="zh-CN"/>
        </w:rPr>
        <w:t>Furthermore, implementing recommended management practices (RMPs) such as crop rotations, the application of manure and biosolids, and precision farming can further enhance SOC levels while improving overall soil health. Policies that incentivize these methods, including carbon credits and financial subsidies, are vital to driving adoption among farmers. The potential of agricultural soils for carbon sequestration is substantial, with these practices estimated to offset a significant proportion of annual CO</w:t>
      </w:r>
      <w:r>
        <w:rPr>
          <w:rFonts w:hint="default" w:ascii="Times New Roman" w:hAnsi="Times New Roman" w:cs="Times New Roman"/>
          <w:vertAlign w:val="subscript"/>
          <w:lang w:val="en-US" w:eastAsia="zh-CN"/>
        </w:rPr>
        <w:t>2</w:t>
      </w:r>
      <w:r>
        <w:rPr>
          <w:rFonts w:hint="default" w:ascii="Times New Roman" w:hAnsi="Times New Roman" w:cs="Times New Roman"/>
          <w:lang w:val="en-US" w:eastAsia="zh-CN"/>
        </w:rPr>
        <w:t xml:space="preserve"> emissions.</w:t>
      </w:r>
    </w:p>
    <w:p>
      <w:pPr>
        <w:rPr>
          <w:rFonts w:hint="default" w:ascii="Times New Roman" w:hAnsi="Times New Roman" w:cs="Times New Roman"/>
          <w:lang w:val="en-US" w:eastAsia="zh-CN"/>
        </w:rPr>
      </w:pPr>
      <w:r>
        <w:rPr>
          <w:rFonts w:hint="default" w:ascii="Times New Roman" w:hAnsi="Times New Roman" w:cs="Times New Roman"/>
          <w:lang w:val="en-US" w:eastAsia="zh-CN"/>
        </w:rPr>
        <w:t>Achieving sustainable rural revitalization through carbon sequestration and emission reduction demands collaboration among farmers, policymakers, researchers, and the private sector. Farmers, as the key implementers of carbon sequestration practices, play a central role, and their active participation is essential. Governments must support these efforts by establishing policies that provide financial incentives and technical assistance to farmers.</w:t>
      </w:r>
    </w:p>
    <w:p>
      <w:pPr>
        <w:rPr>
          <w:rFonts w:hint="default" w:ascii="Times New Roman" w:hAnsi="Times New Roman" w:cs="Times New Roman"/>
          <w:lang w:val="en-US" w:eastAsia="zh-CN"/>
        </w:rPr>
      </w:pPr>
      <w:r>
        <w:rPr>
          <w:rFonts w:hint="default" w:ascii="Times New Roman" w:hAnsi="Times New Roman" w:cs="Times New Roman"/>
          <w:lang w:val="en-US" w:eastAsia="zh-CN"/>
        </w:rPr>
        <w:t>Research institutions and universities can contribute by conducting studies to refine and validate carbon sequestration techniques, ensuring their effectiveness across diverse environmental conditions. Meanwhile, the private sector, including agribusinesses and technology firms, can support these initiatives by developing innovative tools and promoting practices that enhance carbon sequestration and lower emissions.</w:t>
      </w:r>
    </w:p>
    <w:p>
      <w:pPr>
        <w:rPr>
          <w:rFonts w:hint="default" w:ascii="Times New Roman" w:hAnsi="Times New Roman" w:cs="Times New Roman"/>
        </w:rPr>
      </w:pPr>
      <w:r>
        <w:rPr>
          <w:rFonts w:hint="default" w:ascii="Times New Roman" w:hAnsi="Times New Roman" w:cs="Times New Roman"/>
          <w:lang w:val="en-US" w:eastAsia="zh-CN"/>
        </w:rPr>
        <w:t>Collaboration among these stakeholders can create a synergistic impact, leading to more effective and sustainable outcomes. Integrating advanced technologies such as satellite monitoring and AI-driven soil analysis can optimize carbon farming practices and monitor their effects on SOC sequestration and soil health. By working together, stakeholders can ensure that carbon sequestration strategies not only combat climate change but also enhance the sustainability and resilience of rural communities.</w:t>
      </w:r>
    </w:p>
    <w:p>
      <w:pPr>
        <w:jc w:val="both"/>
        <w:rPr>
          <w:rFonts w:ascii="Times New Roman Bold" w:hAnsi="Times New Roman Bold" w:cs="Times New Roman Bold"/>
          <w:b/>
          <w:bCs/>
          <w:sz w:val="21"/>
          <w:szCs w:val="21"/>
        </w:rPr>
      </w:pPr>
      <w:r>
        <w:rPr>
          <w:rFonts w:hint="eastAsia" w:ascii="Times New Roman Bold" w:hAnsi="Times New Roman Bold" w:cs="Times New Roman Bold"/>
          <w:b/>
          <w:bCs/>
          <w:sz w:val="21"/>
          <w:szCs w:val="21"/>
        </w:rPr>
        <w:t>Acknowledgments</w:t>
      </w:r>
    </w:p>
    <w:p>
      <w:pPr>
        <w:jc w:val="both"/>
        <w:rPr>
          <w:rFonts w:ascii="Times New Roman Regular" w:hAnsi="Times New Roman Regular" w:cs="Times New Roman Regular"/>
          <w:sz w:val="21"/>
          <w:szCs w:val="21"/>
        </w:rPr>
      </w:pPr>
      <w:r>
        <w:rPr>
          <w:rFonts w:hint="eastAsia" w:ascii="Times New Roman Regular" w:hAnsi="Times New Roman Regular" w:cs="Times New Roman Regular"/>
          <w:sz w:val="21"/>
          <w:szCs w:val="21"/>
          <w:lang w:val="en-US" w:eastAsia="zh-CN"/>
        </w:rPr>
        <w:t>I deeply appreciate the reviewers for their insightful comments and revision suggestions during the review process. These inputs have not only elevated the academic quality of the paper but also provided new perspectives for my future research.</w:t>
      </w:r>
    </w:p>
    <w:p>
      <w:pPr>
        <w:jc w:val="both"/>
        <w:rPr>
          <w:rFonts w:ascii="Times New Roman Bold" w:hAnsi="Times New Roman Bold" w:cs="Times New Roman Bold"/>
          <w:b/>
          <w:bCs/>
          <w:sz w:val="21"/>
          <w:szCs w:val="21"/>
        </w:rPr>
      </w:pPr>
      <w:r>
        <w:rPr>
          <w:rFonts w:ascii="Times New Roman Bold" w:hAnsi="Times New Roman Bold" w:cs="Times New Roman Bold"/>
          <w:b/>
          <w:bCs/>
          <w:sz w:val="21"/>
          <w:szCs w:val="21"/>
        </w:rPr>
        <w:t>Conflict of Interest Disclosure</w:t>
      </w:r>
    </w:p>
    <w:p>
      <w:pPr>
        <w:jc w:val="both"/>
        <w:rPr>
          <w:rFonts w:ascii="Times New Roman Regular" w:hAnsi="Times New Roman Regular" w:cs="Times New Roman Regular"/>
          <w:sz w:val="18"/>
          <w:szCs w:val="18"/>
        </w:rPr>
      </w:pPr>
      <w:r>
        <w:rPr>
          <w:rFonts w:ascii="Times New Roman Regular" w:hAnsi="Times New Roman Regular" w:cs="Times New Roman Regular"/>
          <w:sz w:val="18"/>
          <w:szCs w:val="18"/>
        </w:rPr>
        <w:t>The authors affirm that this research was conducted without any commercial or financial relationships that could be construed as a potential conflict of interest.</w:t>
      </w:r>
    </w:p>
    <w:p>
      <w:pPr>
        <w:rPr>
          <w:rFonts w:hint="default" w:ascii="Times New Roman" w:hAnsi="Times New Roman" w:cs="Times New Roman"/>
          <w:b/>
          <w:bCs/>
          <w:sz w:val="21"/>
          <w:szCs w:val="21"/>
          <w:lang w:val="en-US" w:eastAsia="zh-CN"/>
        </w:rPr>
      </w:pPr>
      <w:bookmarkStart w:id="0" w:name="_GoBack"/>
      <w:bookmarkEnd w:id="0"/>
      <w:r>
        <w:rPr>
          <w:rFonts w:hint="default" w:ascii="Times New Roman" w:hAnsi="Times New Roman" w:cs="Times New Roman"/>
          <w:b/>
          <w:bCs/>
          <w:sz w:val="21"/>
          <w:szCs w:val="21"/>
          <w:lang w:val="en-US" w:eastAsia="zh-CN"/>
        </w:rPr>
        <w:t>References</w:t>
      </w:r>
    </w:p>
    <w:p>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rPr>
      </w:pPr>
      <w:r>
        <w:rPr>
          <w:rFonts w:hint="default" w:ascii="Times New Roman" w:hAnsi="Times New Roman" w:cs="Times New Roman"/>
          <w:sz w:val="18"/>
          <w:szCs w:val="18"/>
        </w:rPr>
        <w:t>Aertsens</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J., Nocker</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 xml:space="preserve">L., </w:t>
      </w:r>
      <w:r>
        <w:rPr>
          <w:rFonts w:hint="eastAsia" w:ascii="Times New Roman" w:hAnsi="Times New Roman" w:cs="Times New Roman"/>
          <w:sz w:val="18"/>
          <w:szCs w:val="18"/>
          <w:lang w:eastAsia="zh-CN"/>
        </w:rPr>
        <w:t>and</w:t>
      </w:r>
      <w:r>
        <w:rPr>
          <w:rFonts w:hint="default" w:ascii="Times New Roman" w:hAnsi="Times New Roman" w:cs="Times New Roman"/>
          <w:sz w:val="18"/>
          <w:szCs w:val="18"/>
        </w:rPr>
        <w:t xml:space="preserve"> Gobin</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A., 2013</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Valuing the carbon sequestration potential for European agriculture</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Land Use Policy, 31</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584-594. </w:t>
      </w: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HYPERLINK "https://doi.org/10.1016/J.LANDUSEPOL.2012.09.003." </w:instrText>
      </w:r>
      <w:r>
        <w:rPr>
          <w:rFonts w:hint="default" w:ascii="Times New Roman" w:hAnsi="Times New Roman" w:cs="Times New Roman"/>
          <w:sz w:val="18"/>
          <w:szCs w:val="18"/>
        </w:rPr>
        <w:fldChar w:fldCharType="separate"/>
      </w:r>
      <w:r>
        <w:rPr>
          <w:rStyle w:val="9"/>
          <w:rFonts w:hint="default" w:ascii="Times New Roman" w:hAnsi="Times New Roman" w:cs="Times New Roman"/>
          <w:sz w:val="18"/>
          <w:szCs w:val="18"/>
        </w:rPr>
        <w:t>https://doi.org/10.1016/J.LANDUSEPOL.2012.09.003.</w:t>
      </w:r>
      <w:r>
        <w:rPr>
          <w:rFonts w:hint="default" w:ascii="Times New Roman" w:hAnsi="Times New Roman" w:cs="Times New Roman"/>
          <w:sz w:val="18"/>
          <w:szCs w:val="18"/>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rPr>
      </w:pPr>
      <w:r>
        <w:rPr>
          <w:rFonts w:hint="default" w:ascii="Times New Roman" w:hAnsi="Times New Roman" w:cs="Times New Roman"/>
          <w:sz w:val="18"/>
          <w:szCs w:val="18"/>
        </w:rPr>
        <w:t>Almaraz</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M., Wong</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M., Geoghegan</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 xml:space="preserve">E., </w:t>
      </w:r>
      <w:r>
        <w:rPr>
          <w:rFonts w:hint="eastAsia" w:ascii="Times New Roman" w:hAnsi="Times New Roman" w:cs="Times New Roman"/>
          <w:sz w:val="18"/>
          <w:szCs w:val="18"/>
          <w:lang w:eastAsia="zh-CN"/>
        </w:rPr>
        <w:t>and</w:t>
      </w:r>
      <w:r>
        <w:rPr>
          <w:rFonts w:hint="default" w:ascii="Times New Roman" w:hAnsi="Times New Roman" w:cs="Times New Roman"/>
          <w:sz w:val="18"/>
          <w:szCs w:val="18"/>
        </w:rPr>
        <w:t xml:space="preserve"> Houlton</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B., 2021</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A review of carbon farming impacts on nitrogen cycling, retention, and loss.</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Annals of the New York Academy of Sciences, 1505. </w:t>
      </w: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HYPERLINK "https://doi.org/10.1111/nyas.14690." </w:instrText>
      </w:r>
      <w:r>
        <w:rPr>
          <w:rFonts w:hint="default" w:ascii="Times New Roman" w:hAnsi="Times New Roman" w:cs="Times New Roman"/>
          <w:sz w:val="18"/>
          <w:szCs w:val="18"/>
        </w:rPr>
        <w:fldChar w:fldCharType="separate"/>
      </w:r>
      <w:r>
        <w:rPr>
          <w:rStyle w:val="9"/>
          <w:rFonts w:hint="default" w:ascii="Times New Roman" w:hAnsi="Times New Roman" w:cs="Times New Roman"/>
          <w:sz w:val="18"/>
          <w:szCs w:val="18"/>
        </w:rPr>
        <w:t>https://doi.org/10.1111/nyas.14690.</w:t>
      </w:r>
      <w:r>
        <w:rPr>
          <w:rFonts w:hint="default" w:ascii="Times New Roman" w:hAnsi="Times New Roman" w:cs="Times New Roman"/>
          <w:sz w:val="18"/>
          <w:szCs w:val="18"/>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rPr>
      </w:pPr>
      <w:r>
        <w:rPr>
          <w:rFonts w:hint="default" w:ascii="Times New Roman" w:hAnsi="Times New Roman" w:cs="Times New Roman"/>
          <w:sz w:val="18"/>
          <w:szCs w:val="18"/>
        </w:rPr>
        <w:t>Amundson</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R., 2022</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Negative emissions in agriculture are improbable in the near future. Proceedings of the National Academy of Sciences of the United States of America, 119. </w:t>
      </w: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HYPERLINK "https://doi.org/10.1073/pnas.2118142119." </w:instrText>
      </w:r>
      <w:r>
        <w:rPr>
          <w:rFonts w:hint="default" w:ascii="Times New Roman" w:hAnsi="Times New Roman" w:cs="Times New Roman"/>
          <w:sz w:val="18"/>
          <w:szCs w:val="18"/>
        </w:rPr>
        <w:fldChar w:fldCharType="separate"/>
      </w:r>
      <w:r>
        <w:rPr>
          <w:rStyle w:val="9"/>
          <w:rFonts w:hint="default" w:ascii="Times New Roman" w:hAnsi="Times New Roman" w:cs="Times New Roman"/>
          <w:sz w:val="18"/>
          <w:szCs w:val="18"/>
        </w:rPr>
        <w:t>https://doi.org/10.1073/pnas.2118142119.</w:t>
      </w:r>
      <w:r>
        <w:rPr>
          <w:rFonts w:hint="default" w:ascii="Times New Roman" w:hAnsi="Times New Roman" w:cs="Times New Roman"/>
          <w:sz w:val="18"/>
          <w:szCs w:val="18"/>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rPr>
      </w:pPr>
      <w:r>
        <w:rPr>
          <w:rFonts w:hint="default" w:ascii="Times New Roman" w:hAnsi="Times New Roman" w:cs="Times New Roman"/>
          <w:sz w:val="18"/>
          <w:szCs w:val="18"/>
        </w:rPr>
        <w:t>Atelge</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M., Atelge</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M., Krisa</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D., Kumar</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G., Eskicioglu</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C., Nguyen</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D., Chang</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S., Atabani</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A., Al-Muhtaseb</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 xml:space="preserve">A., </w:t>
      </w:r>
      <w:r>
        <w:rPr>
          <w:rFonts w:hint="eastAsia" w:ascii="Times New Roman" w:hAnsi="Times New Roman" w:cs="Times New Roman"/>
          <w:sz w:val="18"/>
          <w:szCs w:val="18"/>
          <w:lang w:eastAsia="zh-CN"/>
        </w:rPr>
        <w:t>and</w:t>
      </w:r>
      <w:r>
        <w:rPr>
          <w:rFonts w:hint="default" w:ascii="Times New Roman" w:hAnsi="Times New Roman" w:cs="Times New Roman"/>
          <w:sz w:val="18"/>
          <w:szCs w:val="18"/>
        </w:rPr>
        <w:t xml:space="preserve"> Ünalan</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S., 2020</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Biogas Production from Organic Waste: Recent Progress and Perspectives</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Waste and Biomass Valorization, 11</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1019-1040. </w:t>
      </w: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HYPERLINK "https://doi.org/10.1007/S12649-018-00546-0." </w:instrText>
      </w:r>
      <w:r>
        <w:rPr>
          <w:rFonts w:hint="default" w:ascii="Times New Roman" w:hAnsi="Times New Roman" w:cs="Times New Roman"/>
          <w:sz w:val="18"/>
          <w:szCs w:val="18"/>
        </w:rPr>
        <w:fldChar w:fldCharType="separate"/>
      </w:r>
      <w:r>
        <w:rPr>
          <w:rStyle w:val="9"/>
          <w:rFonts w:hint="default" w:ascii="Times New Roman" w:hAnsi="Times New Roman" w:cs="Times New Roman"/>
          <w:sz w:val="18"/>
          <w:szCs w:val="18"/>
        </w:rPr>
        <w:t>https://doi.org/10.1007/S12649-018-00546-0.</w:t>
      </w:r>
      <w:r>
        <w:rPr>
          <w:rFonts w:hint="default" w:ascii="Times New Roman" w:hAnsi="Times New Roman" w:cs="Times New Roman"/>
          <w:sz w:val="18"/>
          <w:szCs w:val="18"/>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rPr>
      </w:pPr>
      <w:r>
        <w:rPr>
          <w:rFonts w:hint="default" w:ascii="Times New Roman" w:hAnsi="Times New Roman" w:cs="Times New Roman"/>
          <w:sz w:val="18"/>
          <w:szCs w:val="18"/>
        </w:rPr>
        <w:t>Bai</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X., Huang</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Y., Ren</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W., Coyne</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M., Jacinthe</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P., Tao</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B., Hui</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D., Yang</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 xml:space="preserve">J., </w:t>
      </w:r>
      <w:r>
        <w:rPr>
          <w:rFonts w:hint="eastAsia" w:ascii="Times New Roman" w:hAnsi="Times New Roman" w:cs="Times New Roman"/>
          <w:sz w:val="18"/>
          <w:szCs w:val="18"/>
          <w:lang w:eastAsia="zh-CN"/>
        </w:rPr>
        <w:t>and</w:t>
      </w:r>
      <w:r>
        <w:rPr>
          <w:rFonts w:hint="default" w:ascii="Times New Roman" w:hAnsi="Times New Roman" w:cs="Times New Roman"/>
          <w:sz w:val="18"/>
          <w:szCs w:val="18"/>
        </w:rPr>
        <w:t xml:space="preserve"> Matocha</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C., 2019</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Responses of soil carbon sequestration to climate‐smart agriculture practices: A meta</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analysis</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Global Change Biology, 25</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2591</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2606. </w:t>
      </w: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HYPERLINK "https://doi.org/10.1111/gcb.14658." </w:instrText>
      </w:r>
      <w:r>
        <w:rPr>
          <w:rFonts w:hint="default" w:ascii="Times New Roman" w:hAnsi="Times New Roman" w:cs="Times New Roman"/>
          <w:sz w:val="18"/>
          <w:szCs w:val="18"/>
        </w:rPr>
        <w:fldChar w:fldCharType="separate"/>
      </w:r>
      <w:r>
        <w:rPr>
          <w:rStyle w:val="9"/>
          <w:rFonts w:hint="default" w:ascii="Times New Roman" w:hAnsi="Times New Roman" w:cs="Times New Roman"/>
          <w:sz w:val="18"/>
          <w:szCs w:val="18"/>
        </w:rPr>
        <w:t>https://doi.org/10.1111/gcb.14658.</w:t>
      </w:r>
      <w:r>
        <w:rPr>
          <w:rFonts w:hint="default" w:ascii="Times New Roman" w:hAnsi="Times New Roman" w:cs="Times New Roman"/>
          <w:sz w:val="18"/>
          <w:szCs w:val="18"/>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rPr>
      </w:pPr>
      <w:r>
        <w:rPr>
          <w:rFonts w:hint="default" w:ascii="Times New Roman" w:hAnsi="Times New Roman" w:cs="Times New Roman"/>
          <w:sz w:val="18"/>
          <w:szCs w:val="18"/>
        </w:rPr>
        <w:t>Bhattacharyya</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S., Leite</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F., Adeyemi</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M., Sarker</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A., Cambareri</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G., Faverín</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C., Tieri</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M., Castillo-Zacarías</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C., Melchor-Martínez</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E., Iqbal</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 xml:space="preserve">H., </w:t>
      </w:r>
      <w:r>
        <w:rPr>
          <w:rFonts w:hint="eastAsia" w:ascii="Times New Roman" w:hAnsi="Times New Roman" w:cs="Times New Roman"/>
          <w:sz w:val="18"/>
          <w:szCs w:val="18"/>
          <w:lang w:eastAsia="zh-CN"/>
        </w:rPr>
        <w:t>and</w:t>
      </w:r>
      <w:r>
        <w:rPr>
          <w:rFonts w:hint="default" w:ascii="Times New Roman" w:hAnsi="Times New Roman" w:cs="Times New Roman"/>
          <w:sz w:val="18"/>
          <w:szCs w:val="18"/>
        </w:rPr>
        <w:t xml:space="preserve"> Parra-Saldívar</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R., 2021</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A paradigm shift to CO2 sequestration to manage global warming - With the emphasis on developing countries</w:t>
      </w:r>
      <w:r>
        <w:rPr>
          <w:rFonts w:hint="eastAsia" w:ascii="Times New Roman" w:hAnsi="Times New Roman" w:cs="Times New Roman"/>
          <w:sz w:val="18"/>
          <w:szCs w:val="18"/>
          <w:lang w:val="en-US" w:eastAsia="zh-CN"/>
        </w:rPr>
        <w:t xml:space="preserve">, </w:t>
      </w:r>
      <w:r>
        <w:rPr>
          <w:rFonts w:hint="default" w:ascii="Times New Roman" w:hAnsi="Times New Roman" w:cs="Times New Roman"/>
          <w:sz w:val="18"/>
          <w:szCs w:val="18"/>
        </w:rPr>
        <w:t>The Science of the total environment, 790</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148169. </w:t>
      </w: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HYPERLINK "https://doi.org/10.1016/J.SCITOTENV.2021.148169." </w:instrText>
      </w:r>
      <w:r>
        <w:rPr>
          <w:rFonts w:hint="default" w:ascii="Times New Roman" w:hAnsi="Times New Roman" w:cs="Times New Roman"/>
          <w:sz w:val="18"/>
          <w:szCs w:val="18"/>
        </w:rPr>
        <w:fldChar w:fldCharType="separate"/>
      </w:r>
      <w:r>
        <w:rPr>
          <w:rStyle w:val="9"/>
          <w:rFonts w:hint="default" w:ascii="Times New Roman" w:hAnsi="Times New Roman" w:cs="Times New Roman"/>
          <w:sz w:val="18"/>
          <w:szCs w:val="18"/>
        </w:rPr>
        <w:t>https://doi.org/10.1016/J.SCITOTENV.2021.148169.</w:t>
      </w:r>
      <w:r>
        <w:rPr>
          <w:rFonts w:hint="default" w:ascii="Times New Roman" w:hAnsi="Times New Roman" w:cs="Times New Roman"/>
          <w:sz w:val="18"/>
          <w:szCs w:val="18"/>
        </w:rPr>
        <w:fldChar w:fldCharType="end"/>
      </w:r>
    </w:p>
    <w:p>
      <w:pPr>
        <w:keepNext w:val="0"/>
        <w:keepLines w:val="0"/>
        <w:pageBreakBefore w:val="0"/>
        <w:widowControl w:val="0"/>
        <w:kinsoku/>
        <w:wordWrap/>
        <w:overflowPunct/>
        <w:topLinePunct w:val="0"/>
        <w:autoSpaceDE/>
        <w:autoSpaceDN/>
        <w:bidi w:val="0"/>
        <w:adjustRightInd/>
        <w:snapToGrid/>
        <w:ind w:left="360" w:hanging="360" w:hangingChars="200"/>
        <w:textAlignment w:val="auto"/>
        <w:rPr>
          <w:rFonts w:hint="default" w:ascii="Times New Roman" w:hAnsi="Times New Roman" w:cs="Times New Roman"/>
          <w:sz w:val="18"/>
          <w:szCs w:val="18"/>
        </w:rPr>
      </w:pPr>
      <w:r>
        <w:rPr>
          <w:rFonts w:hint="default" w:ascii="Times New Roman" w:hAnsi="Times New Roman" w:cs="Times New Roman"/>
          <w:sz w:val="18"/>
          <w:szCs w:val="18"/>
        </w:rPr>
        <w:t>Brombin</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V., Mistri</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E., Feudis</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M., Forti</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C., Salani</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G., Natali</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C., Falsone</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G., Antisari</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 xml:space="preserve">L., </w:t>
      </w:r>
      <w:r>
        <w:rPr>
          <w:rFonts w:hint="eastAsia" w:ascii="Times New Roman" w:hAnsi="Times New Roman" w:cs="Times New Roman"/>
          <w:sz w:val="18"/>
          <w:szCs w:val="18"/>
          <w:lang w:eastAsia="zh-CN"/>
        </w:rPr>
        <w:t>and</w:t>
      </w:r>
      <w:r>
        <w:rPr>
          <w:rFonts w:hint="default" w:ascii="Times New Roman" w:hAnsi="Times New Roman" w:cs="Times New Roman"/>
          <w:sz w:val="18"/>
          <w:szCs w:val="18"/>
        </w:rPr>
        <w:t xml:space="preserve"> Bianchini</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G., 2020</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Soil Carbon Investigation in Three Pedoclimatic and Agronomic Settings of Northern Italy</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Sustainability. </w:t>
      </w: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HYPERLINK "https://doi.org/10.3390/su122410539." </w:instrText>
      </w:r>
      <w:r>
        <w:rPr>
          <w:rFonts w:hint="default" w:ascii="Times New Roman" w:hAnsi="Times New Roman" w:cs="Times New Roman"/>
          <w:sz w:val="18"/>
          <w:szCs w:val="18"/>
        </w:rPr>
        <w:fldChar w:fldCharType="separate"/>
      </w:r>
      <w:r>
        <w:rPr>
          <w:rStyle w:val="9"/>
          <w:rFonts w:hint="default" w:ascii="Times New Roman" w:hAnsi="Times New Roman" w:cs="Times New Roman"/>
          <w:sz w:val="18"/>
          <w:szCs w:val="18"/>
        </w:rPr>
        <w:t>https://doi.org/10.3390/su122410539.</w:t>
      </w:r>
      <w:r>
        <w:rPr>
          <w:rFonts w:hint="default" w:ascii="Times New Roman" w:hAnsi="Times New Roman" w:cs="Times New Roman"/>
          <w:sz w:val="18"/>
          <w:szCs w:val="18"/>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rPr>
      </w:pPr>
      <w:r>
        <w:rPr>
          <w:rFonts w:hint="default" w:ascii="Times New Roman" w:hAnsi="Times New Roman" w:cs="Times New Roman"/>
          <w:sz w:val="18"/>
          <w:szCs w:val="18"/>
        </w:rPr>
        <w:t>Cillis</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D., Maestrini</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B., Pezzuolo</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A., Marinello</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 xml:space="preserve">F., </w:t>
      </w:r>
      <w:r>
        <w:rPr>
          <w:rFonts w:hint="eastAsia" w:ascii="Times New Roman" w:hAnsi="Times New Roman" w:cs="Times New Roman"/>
          <w:sz w:val="18"/>
          <w:szCs w:val="18"/>
          <w:lang w:eastAsia="zh-CN"/>
        </w:rPr>
        <w:t>and</w:t>
      </w:r>
      <w:r>
        <w:rPr>
          <w:rFonts w:hint="default" w:ascii="Times New Roman" w:hAnsi="Times New Roman" w:cs="Times New Roman"/>
          <w:sz w:val="18"/>
          <w:szCs w:val="18"/>
        </w:rPr>
        <w:t xml:space="preserve"> Sartori</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L., 2018</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Modeling soil organic carbon and carbon dioxide emissions in different tillage systems supported by precision agriculture technologies under current climatic conditions</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Soil and Tillage Research. </w:t>
      </w: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HYPERLINK "https://doi.org/10.1016/J.STILL.2018.06.001." </w:instrText>
      </w:r>
      <w:r>
        <w:rPr>
          <w:rFonts w:hint="default" w:ascii="Times New Roman" w:hAnsi="Times New Roman" w:cs="Times New Roman"/>
          <w:sz w:val="18"/>
          <w:szCs w:val="18"/>
        </w:rPr>
        <w:fldChar w:fldCharType="separate"/>
      </w:r>
      <w:r>
        <w:rPr>
          <w:rStyle w:val="9"/>
          <w:rFonts w:hint="default" w:ascii="Times New Roman" w:hAnsi="Times New Roman" w:cs="Times New Roman"/>
          <w:sz w:val="18"/>
          <w:szCs w:val="18"/>
        </w:rPr>
        <w:t>https://doi.org/10.1016/J.STILL.2018.06.001.</w:t>
      </w:r>
      <w:r>
        <w:rPr>
          <w:rFonts w:hint="default" w:ascii="Times New Roman" w:hAnsi="Times New Roman" w:cs="Times New Roman"/>
          <w:sz w:val="18"/>
          <w:szCs w:val="18"/>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rPr>
      </w:pPr>
      <w:r>
        <w:rPr>
          <w:rFonts w:hint="default" w:ascii="Times New Roman" w:hAnsi="Times New Roman" w:cs="Times New Roman"/>
          <w:sz w:val="18"/>
          <w:szCs w:val="18"/>
        </w:rPr>
        <w:t>Dale</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B., Bozzetto</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S., Couturier</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C., Fabbri</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C., Hilbert</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J., Ong</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R., Richard</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T., Rossi</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L., Thelen</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 xml:space="preserve">K., </w:t>
      </w:r>
      <w:r>
        <w:rPr>
          <w:rFonts w:hint="eastAsia" w:ascii="Times New Roman" w:hAnsi="Times New Roman" w:cs="Times New Roman"/>
          <w:sz w:val="18"/>
          <w:szCs w:val="18"/>
          <w:lang w:eastAsia="zh-CN"/>
        </w:rPr>
        <w:t>and</w:t>
      </w:r>
      <w:r>
        <w:rPr>
          <w:rFonts w:hint="default" w:ascii="Times New Roman" w:hAnsi="Times New Roman" w:cs="Times New Roman"/>
          <w:sz w:val="18"/>
          <w:szCs w:val="18"/>
        </w:rPr>
        <w:t xml:space="preserve"> Woods</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J., 2020</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The potential for expanding sustainable biogas production and some possible impacts in specific countries</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Biofuels, 14. </w:t>
      </w: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HYPERLINK "https://doi.org/10.1002/bbb.2134." </w:instrText>
      </w:r>
      <w:r>
        <w:rPr>
          <w:rFonts w:hint="default" w:ascii="Times New Roman" w:hAnsi="Times New Roman" w:cs="Times New Roman"/>
          <w:sz w:val="18"/>
          <w:szCs w:val="18"/>
        </w:rPr>
        <w:fldChar w:fldCharType="separate"/>
      </w:r>
      <w:r>
        <w:rPr>
          <w:rStyle w:val="9"/>
          <w:rFonts w:hint="default" w:ascii="Times New Roman" w:hAnsi="Times New Roman" w:cs="Times New Roman"/>
          <w:sz w:val="18"/>
          <w:szCs w:val="18"/>
        </w:rPr>
        <w:t>https://doi.org/10.1002/bbb.2134.</w:t>
      </w:r>
      <w:r>
        <w:rPr>
          <w:rFonts w:hint="default" w:ascii="Times New Roman" w:hAnsi="Times New Roman" w:cs="Times New Roman"/>
          <w:sz w:val="18"/>
          <w:szCs w:val="18"/>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rPr>
      </w:pPr>
      <w:r>
        <w:rPr>
          <w:rFonts w:hint="default" w:ascii="Times New Roman" w:hAnsi="Times New Roman" w:cs="Times New Roman"/>
          <w:sz w:val="18"/>
          <w:szCs w:val="18"/>
        </w:rPr>
        <w:t>Francaviglia</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R., Almagro</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 xml:space="preserve">M., </w:t>
      </w:r>
      <w:r>
        <w:rPr>
          <w:rFonts w:hint="eastAsia" w:ascii="Times New Roman" w:hAnsi="Times New Roman" w:cs="Times New Roman"/>
          <w:sz w:val="18"/>
          <w:szCs w:val="18"/>
          <w:lang w:eastAsia="zh-CN"/>
        </w:rPr>
        <w:t>and</w:t>
      </w:r>
      <w:r>
        <w:rPr>
          <w:rFonts w:hint="default" w:ascii="Times New Roman" w:hAnsi="Times New Roman" w:cs="Times New Roman"/>
          <w:sz w:val="18"/>
          <w:szCs w:val="18"/>
        </w:rPr>
        <w:t xml:space="preserve"> Vicente-Vicente</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J., 2023</w:t>
      </w:r>
      <w:r>
        <w:rPr>
          <w:rFonts w:hint="eastAsia" w:ascii="Times New Roman" w:hAnsi="Times New Roman" w:cs="Times New Roman"/>
          <w:sz w:val="18"/>
          <w:szCs w:val="18"/>
          <w:lang w:val="en-US" w:eastAsia="zh-CN"/>
        </w:rPr>
        <w:t xml:space="preserve">, </w:t>
      </w:r>
      <w:r>
        <w:rPr>
          <w:rFonts w:hint="default" w:ascii="Times New Roman" w:hAnsi="Times New Roman" w:cs="Times New Roman"/>
          <w:sz w:val="18"/>
          <w:szCs w:val="18"/>
        </w:rPr>
        <w:t xml:space="preserve">Conservation Agriculture and Soil Organic Carbon: Principles, Processes, Practices and Policy Options. Soil Systems. </w:t>
      </w: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HYPERLINK "https://doi.org/10.3390/soilsystems7010017." </w:instrText>
      </w:r>
      <w:r>
        <w:rPr>
          <w:rFonts w:hint="default" w:ascii="Times New Roman" w:hAnsi="Times New Roman" w:cs="Times New Roman"/>
          <w:sz w:val="18"/>
          <w:szCs w:val="18"/>
        </w:rPr>
        <w:fldChar w:fldCharType="separate"/>
      </w:r>
      <w:r>
        <w:rPr>
          <w:rStyle w:val="9"/>
          <w:rFonts w:hint="default" w:ascii="Times New Roman" w:hAnsi="Times New Roman" w:cs="Times New Roman"/>
          <w:sz w:val="18"/>
          <w:szCs w:val="18"/>
        </w:rPr>
        <w:t>https://doi.org/10.3390/soilsystems7010017.</w:t>
      </w:r>
      <w:r>
        <w:rPr>
          <w:rFonts w:hint="default" w:ascii="Times New Roman" w:hAnsi="Times New Roman" w:cs="Times New Roman"/>
          <w:sz w:val="18"/>
          <w:szCs w:val="18"/>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rPr>
      </w:pPr>
      <w:r>
        <w:rPr>
          <w:rFonts w:hint="default" w:ascii="Times New Roman" w:hAnsi="Times New Roman" w:cs="Times New Roman"/>
          <w:sz w:val="18"/>
          <w:szCs w:val="18"/>
        </w:rPr>
        <w:t>Govaerts</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B., Verhulst</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N., Castellanos-Navarrete</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A., Sayre</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K., Dixon</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 xml:space="preserve">J., </w:t>
      </w:r>
      <w:r>
        <w:rPr>
          <w:rFonts w:hint="eastAsia" w:ascii="Times New Roman" w:hAnsi="Times New Roman" w:cs="Times New Roman"/>
          <w:sz w:val="18"/>
          <w:szCs w:val="18"/>
          <w:lang w:eastAsia="zh-CN"/>
        </w:rPr>
        <w:t>and</w:t>
      </w:r>
      <w:r>
        <w:rPr>
          <w:rFonts w:hint="default" w:ascii="Times New Roman" w:hAnsi="Times New Roman" w:cs="Times New Roman"/>
          <w:sz w:val="18"/>
          <w:szCs w:val="18"/>
        </w:rPr>
        <w:t xml:space="preserve"> Dendooven</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L., 2009. Conservation Agriculture and Soil Carbon Sequestration: Between Myth and Farmer Reality</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Critical Reviews in Plant Sciences, 28</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122</w:t>
      </w:r>
      <w:r>
        <w:rPr>
          <w:rFonts w:hint="eastAsia" w:ascii="Times New Roman" w:hAnsi="Times New Roman" w:cs="Times New Roman"/>
          <w:sz w:val="18"/>
          <w:szCs w:val="18"/>
          <w:lang w:val="en-US" w:eastAsia="zh-CN"/>
        </w:rPr>
        <w:t>-1</w:t>
      </w:r>
      <w:r>
        <w:rPr>
          <w:rFonts w:hint="default" w:ascii="Times New Roman" w:hAnsi="Times New Roman" w:cs="Times New Roman"/>
          <w:sz w:val="18"/>
          <w:szCs w:val="18"/>
        </w:rPr>
        <w:t xml:space="preserve">97. </w:t>
      </w: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HYPERLINK "https://doi.org/10.1080/07352680902776358." </w:instrText>
      </w:r>
      <w:r>
        <w:rPr>
          <w:rFonts w:hint="default" w:ascii="Times New Roman" w:hAnsi="Times New Roman" w:cs="Times New Roman"/>
          <w:sz w:val="18"/>
          <w:szCs w:val="18"/>
        </w:rPr>
        <w:fldChar w:fldCharType="separate"/>
      </w:r>
      <w:r>
        <w:rPr>
          <w:rStyle w:val="9"/>
          <w:rFonts w:hint="default" w:ascii="Times New Roman" w:hAnsi="Times New Roman" w:cs="Times New Roman"/>
          <w:sz w:val="18"/>
          <w:szCs w:val="18"/>
        </w:rPr>
        <w:t>https://doi.org/10.1080/07352680902776358.</w:t>
      </w:r>
      <w:r>
        <w:rPr>
          <w:rFonts w:hint="default" w:ascii="Times New Roman" w:hAnsi="Times New Roman" w:cs="Times New Roman"/>
          <w:sz w:val="18"/>
          <w:szCs w:val="18"/>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rPr>
      </w:pPr>
      <w:r>
        <w:rPr>
          <w:rFonts w:hint="default" w:ascii="Times New Roman" w:hAnsi="Times New Roman" w:cs="Times New Roman"/>
          <w:sz w:val="18"/>
          <w:szCs w:val="18"/>
        </w:rPr>
        <w:t>Hermann</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D., Sauthoff</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 xml:space="preserve">S., </w:t>
      </w:r>
      <w:r>
        <w:rPr>
          <w:rFonts w:hint="eastAsia" w:ascii="Times New Roman" w:hAnsi="Times New Roman" w:cs="Times New Roman"/>
          <w:sz w:val="18"/>
          <w:szCs w:val="18"/>
          <w:lang w:eastAsia="zh-CN"/>
        </w:rPr>
        <w:t>and</w:t>
      </w:r>
      <w:r>
        <w:rPr>
          <w:rFonts w:hint="default" w:ascii="Times New Roman" w:hAnsi="Times New Roman" w:cs="Times New Roman"/>
          <w:sz w:val="18"/>
          <w:szCs w:val="18"/>
        </w:rPr>
        <w:t xml:space="preserve"> Musshoff</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O., 2017</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Ex-ante evaluation of policy measures to enhance carbon sequestration in agricultural soils</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Ecological Economics, 140</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241-250. </w:t>
      </w: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HYPERLINK "https://doi.org/10.1016/J.ECOLECON.2017.05.018." </w:instrText>
      </w:r>
      <w:r>
        <w:rPr>
          <w:rFonts w:hint="default" w:ascii="Times New Roman" w:hAnsi="Times New Roman" w:cs="Times New Roman"/>
          <w:sz w:val="18"/>
          <w:szCs w:val="18"/>
        </w:rPr>
        <w:fldChar w:fldCharType="separate"/>
      </w:r>
      <w:r>
        <w:rPr>
          <w:rStyle w:val="9"/>
          <w:rFonts w:hint="default" w:ascii="Times New Roman" w:hAnsi="Times New Roman" w:cs="Times New Roman"/>
          <w:sz w:val="18"/>
          <w:szCs w:val="18"/>
        </w:rPr>
        <w:t>https://doi.org/10.1016/J.ECOLECON.2017.05.018.</w:t>
      </w:r>
      <w:r>
        <w:rPr>
          <w:rFonts w:hint="default" w:ascii="Times New Roman" w:hAnsi="Times New Roman" w:cs="Times New Roman"/>
          <w:sz w:val="18"/>
          <w:szCs w:val="18"/>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rPr>
      </w:pPr>
      <w:r>
        <w:rPr>
          <w:rFonts w:hint="default" w:ascii="Times New Roman" w:hAnsi="Times New Roman" w:cs="Times New Roman"/>
          <w:sz w:val="18"/>
          <w:szCs w:val="18"/>
        </w:rPr>
        <w:t>Hutchinson</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J., Campbell</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 xml:space="preserve">C., </w:t>
      </w:r>
      <w:r>
        <w:rPr>
          <w:rFonts w:hint="eastAsia" w:ascii="Times New Roman" w:hAnsi="Times New Roman" w:cs="Times New Roman"/>
          <w:sz w:val="18"/>
          <w:szCs w:val="18"/>
          <w:lang w:eastAsia="zh-CN"/>
        </w:rPr>
        <w:t>and</w:t>
      </w:r>
      <w:r>
        <w:rPr>
          <w:rFonts w:hint="default" w:ascii="Times New Roman" w:hAnsi="Times New Roman" w:cs="Times New Roman"/>
          <w:sz w:val="18"/>
          <w:szCs w:val="18"/>
        </w:rPr>
        <w:t xml:space="preserve"> Desjardins</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R., 2007</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Some perspectives on carbon sequestration in agriculture</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Agricultural and Forest Meteorology, 142</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288-302. </w:t>
      </w: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HYPERLINK "https://doi.org/10.1016/J.AGRFORMET.2006.03.030." </w:instrText>
      </w:r>
      <w:r>
        <w:rPr>
          <w:rFonts w:hint="default" w:ascii="Times New Roman" w:hAnsi="Times New Roman" w:cs="Times New Roman"/>
          <w:sz w:val="18"/>
          <w:szCs w:val="18"/>
        </w:rPr>
        <w:fldChar w:fldCharType="separate"/>
      </w:r>
      <w:r>
        <w:rPr>
          <w:rStyle w:val="9"/>
          <w:rFonts w:hint="default" w:ascii="Times New Roman" w:hAnsi="Times New Roman" w:cs="Times New Roman"/>
          <w:sz w:val="18"/>
          <w:szCs w:val="18"/>
        </w:rPr>
        <w:t>https://doi.org/10.1016/J.AGRFORMET.2006.03.030.</w:t>
      </w:r>
      <w:r>
        <w:rPr>
          <w:rFonts w:hint="default" w:ascii="Times New Roman" w:hAnsi="Times New Roman" w:cs="Times New Roman"/>
          <w:sz w:val="18"/>
          <w:szCs w:val="18"/>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rPr>
      </w:pPr>
      <w:r>
        <w:rPr>
          <w:rFonts w:hint="default" w:ascii="Times New Roman" w:hAnsi="Times New Roman" w:cs="Times New Roman"/>
          <w:sz w:val="18"/>
          <w:szCs w:val="18"/>
        </w:rPr>
        <w:t>Jarecki</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 xml:space="preserve">M., </w:t>
      </w:r>
      <w:r>
        <w:rPr>
          <w:rFonts w:hint="eastAsia" w:ascii="Times New Roman" w:hAnsi="Times New Roman" w:cs="Times New Roman"/>
          <w:sz w:val="18"/>
          <w:szCs w:val="18"/>
          <w:lang w:eastAsia="zh-CN"/>
        </w:rPr>
        <w:t>and</w:t>
      </w:r>
      <w:r>
        <w:rPr>
          <w:rFonts w:hint="default" w:ascii="Times New Roman" w:hAnsi="Times New Roman" w:cs="Times New Roman"/>
          <w:sz w:val="18"/>
          <w:szCs w:val="18"/>
        </w:rPr>
        <w:t xml:space="preserve"> Lal</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R., 2003</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Crop Management for Soil Carbon Sequestration</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Critical Reviews in Plant Sciences, 22</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471</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502. </w:t>
      </w: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HYPERLINK "https://doi.org/10.1080/713608318." </w:instrText>
      </w:r>
      <w:r>
        <w:rPr>
          <w:rFonts w:hint="default" w:ascii="Times New Roman" w:hAnsi="Times New Roman" w:cs="Times New Roman"/>
          <w:sz w:val="18"/>
          <w:szCs w:val="18"/>
        </w:rPr>
        <w:fldChar w:fldCharType="separate"/>
      </w:r>
      <w:r>
        <w:rPr>
          <w:rStyle w:val="9"/>
          <w:rFonts w:hint="default" w:ascii="Times New Roman" w:hAnsi="Times New Roman" w:cs="Times New Roman"/>
          <w:sz w:val="18"/>
          <w:szCs w:val="18"/>
        </w:rPr>
        <w:t>https://doi.org/10.1080/713608318.</w:t>
      </w:r>
      <w:r>
        <w:rPr>
          <w:rFonts w:hint="default" w:ascii="Times New Roman" w:hAnsi="Times New Roman" w:cs="Times New Roman"/>
          <w:sz w:val="18"/>
          <w:szCs w:val="18"/>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rPr>
      </w:pPr>
      <w:r>
        <w:rPr>
          <w:rFonts w:hint="default" w:ascii="Times New Roman" w:hAnsi="Times New Roman" w:cs="Times New Roman"/>
          <w:sz w:val="18"/>
          <w:szCs w:val="18"/>
        </w:rPr>
        <w:t>Kåresdotter</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E., Bergqvist</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L., Flores-Carmenate</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G., Haller</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 xml:space="preserve">H., </w:t>
      </w:r>
      <w:r>
        <w:rPr>
          <w:rFonts w:hint="eastAsia" w:ascii="Times New Roman" w:hAnsi="Times New Roman" w:cs="Times New Roman"/>
          <w:sz w:val="18"/>
          <w:szCs w:val="18"/>
          <w:lang w:eastAsia="zh-CN"/>
        </w:rPr>
        <w:t>and</w:t>
      </w:r>
      <w:r>
        <w:rPr>
          <w:rFonts w:hint="default" w:ascii="Times New Roman" w:hAnsi="Times New Roman" w:cs="Times New Roman"/>
          <w:sz w:val="18"/>
          <w:szCs w:val="18"/>
        </w:rPr>
        <w:t xml:space="preserve"> Jonsson</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A., 2022</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Modeling the Carbon Sequestration Potential of Multifunctional Agroforestry-Based Phytoremediation (MAP) Systems in Chinandega, Nicaragua. Sustainability. </w:t>
      </w: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HYPERLINK "https://doi.org/10.3390/su14094932." </w:instrText>
      </w:r>
      <w:r>
        <w:rPr>
          <w:rFonts w:hint="default" w:ascii="Times New Roman" w:hAnsi="Times New Roman" w:cs="Times New Roman"/>
          <w:sz w:val="18"/>
          <w:szCs w:val="18"/>
        </w:rPr>
        <w:fldChar w:fldCharType="separate"/>
      </w:r>
      <w:r>
        <w:rPr>
          <w:rStyle w:val="9"/>
          <w:rFonts w:hint="default" w:ascii="Times New Roman" w:hAnsi="Times New Roman" w:cs="Times New Roman"/>
          <w:sz w:val="18"/>
          <w:szCs w:val="18"/>
        </w:rPr>
        <w:t>https://doi.org/10.3390/su14094932.</w:t>
      </w:r>
      <w:r>
        <w:rPr>
          <w:rFonts w:hint="default" w:ascii="Times New Roman" w:hAnsi="Times New Roman" w:cs="Times New Roman"/>
          <w:sz w:val="18"/>
          <w:szCs w:val="18"/>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rPr>
      </w:pPr>
      <w:r>
        <w:rPr>
          <w:rFonts w:hint="default" w:ascii="Times New Roman" w:hAnsi="Times New Roman" w:cs="Times New Roman"/>
          <w:sz w:val="18"/>
          <w:szCs w:val="18"/>
        </w:rPr>
        <w:t>Kaur</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R., Kaur</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N., Kumar</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S., Dass</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 xml:space="preserve">A., </w:t>
      </w:r>
      <w:r>
        <w:rPr>
          <w:rFonts w:hint="eastAsia" w:ascii="Times New Roman" w:hAnsi="Times New Roman" w:cs="Times New Roman"/>
          <w:sz w:val="18"/>
          <w:szCs w:val="18"/>
          <w:lang w:eastAsia="zh-CN"/>
        </w:rPr>
        <w:t>and</w:t>
      </w:r>
      <w:r>
        <w:rPr>
          <w:rFonts w:hint="default" w:ascii="Times New Roman" w:hAnsi="Times New Roman" w:cs="Times New Roman"/>
          <w:sz w:val="18"/>
          <w:szCs w:val="18"/>
        </w:rPr>
        <w:t xml:space="preserve"> Singh</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T., 2023</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Carbon capture and sequestration for sustainable land use – A review</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The Indian Journal of Agricultural Sciences. </w:t>
      </w: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HYPERLINK "https://doi.org/10.56093/ijas.v93i1.124838." </w:instrText>
      </w:r>
      <w:r>
        <w:rPr>
          <w:rFonts w:hint="default" w:ascii="Times New Roman" w:hAnsi="Times New Roman" w:cs="Times New Roman"/>
          <w:sz w:val="18"/>
          <w:szCs w:val="18"/>
        </w:rPr>
        <w:fldChar w:fldCharType="separate"/>
      </w:r>
      <w:r>
        <w:rPr>
          <w:rStyle w:val="9"/>
          <w:rFonts w:hint="default" w:ascii="Times New Roman" w:hAnsi="Times New Roman" w:cs="Times New Roman"/>
          <w:sz w:val="18"/>
          <w:szCs w:val="18"/>
        </w:rPr>
        <w:t>https://doi.org/10.56093/ijas.v93i1.124838.</w:t>
      </w:r>
      <w:r>
        <w:rPr>
          <w:rFonts w:hint="default" w:ascii="Times New Roman" w:hAnsi="Times New Roman" w:cs="Times New Roman"/>
          <w:sz w:val="18"/>
          <w:szCs w:val="18"/>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Kay</w:t>
      </w:r>
      <w:r>
        <w:rPr>
          <w:rFonts w:hint="eastAsia" w:ascii="Times New Roman" w:hAnsi="Times New Roman" w:cs="Times New Roman"/>
          <w:sz w:val="18"/>
          <w:szCs w:val="18"/>
          <w:highlight w:val="none"/>
          <w:lang w:eastAsia="zh-CN"/>
        </w:rPr>
        <w:t xml:space="preserve"> </w:t>
      </w:r>
      <w:r>
        <w:rPr>
          <w:rFonts w:hint="default" w:ascii="Times New Roman" w:hAnsi="Times New Roman" w:cs="Times New Roman"/>
          <w:sz w:val="18"/>
          <w:szCs w:val="18"/>
          <w:highlight w:val="none"/>
        </w:rPr>
        <w:t>S., Rega</w:t>
      </w:r>
      <w:r>
        <w:rPr>
          <w:rFonts w:hint="eastAsia" w:ascii="Times New Roman" w:hAnsi="Times New Roman" w:cs="Times New Roman"/>
          <w:sz w:val="18"/>
          <w:szCs w:val="18"/>
          <w:highlight w:val="none"/>
          <w:lang w:eastAsia="zh-CN"/>
        </w:rPr>
        <w:t xml:space="preserve"> </w:t>
      </w:r>
      <w:r>
        <w:rPr>
          <w:rFonts w:hint="default" w:ascii="Times New Roman" w:hAnsi="Times New Roman" w:cs="Times New Roman"/>
          <w:sz w:val="18"/>
          <w:szCs w:val="18"/>
          <w:highlight w:val="none"/>
        </w:rPr>
        <w:t>C., Moreno</w:t>
      </w:r>
      <w:r>
        <w:rPr>
          <w:rFonts w:hint="eastAsia" w:ascii="Times New Roman" w:hAnsi="Times New Roman" w:cs="Times New Roman"/>
          <w:sz w:val="18"/>
          <w:szCs w:val="18"/>
          <w:highlight w:val="none"/>
          <w:lang w:eastAsia="zh-CN"/>
        </w:rPr>
        <w:t xml:space="preserve"> </w:t>
      </w:r>
      <w:r>
        <w:rPr>
          <w:rFonts w:hint="default" w:ascii="Times New Roman" w:hAnsi="Times New Roman" w:cs="Times New Roman"/>
          <w:sz w:val="18"/>
          <w:szCs w:val="18"/>
          <w:highlight w:val="none"/>
        </w:rPr>
        <w:t>G., Herder</w:t>
      </w:r>
      <w:r>
        <w:rPr>
          <w:rFonts w:hint="eastAsia" w:ascii="Times New Roman" w:hAnsi="Times New Roman" w:cs="Times New Roman"/>
          <w:sz w:val="18"/>
          <w:szCs w:val="18"/>
          <w:highlight w:val="none"/>
          <w:lang w:eastAsia="zh-CN"/>
        </w:rPr>
        <w:t xml:space="preserve"> </w:t>
      </w:r>
      <w:r>
        <w:rPr>
          <w:rFonts w:hint="default" w:ascii="Times New Roman" w:hAnsi="Times New Roman" w:cs="Times New Roman"/>
          <w:sz w:val="18"/>
          <w:szCs w:val="18"/>
          <w:highlight w:val="none"/>
        </w:rPr>
        <w:t>M., Palma</w:t>
      </w:r>
      <w:r>
        <w:rPr>
          <w:rFonts w:hint="eastAsia" w:ascii="Times New Roman" w:hAnsi="Times New Roman" w:cs="Times New Roman"/>
          <w:sz w:val="18"/>
          <w:szCs w:val="18"/>
          <w:highlight w:val="none"/>
          <w:lang w:eastAsia="zh-CN"/>
        </w:rPr>
        <w:t xml:space="preserve"> </w:t>
      </w:r>
      <w:r>
        <w:rPr>
          <w:rFonts w:hint="default" w:ascii="Times New Roman" w:hAnsi="Times New Roman" w:cs="Times New Roman"/>
          <w:sz w:val="18"/>
          <w:szCs w:val="18"/>
          <w:highlight w:val="none"/>
        </w:rPr>
        <w:t>J., Borek</w:t>
      </w:r>
      <w:r>
        <w:rPr>
          <w:rFonts w:hint="eastAsia" w:ascii="Times New Roman" w:hAnsi="Times New Roman" w:cs="Times New Roman"/>
          <w:sz w:val="18"/>
          <w:szCs w:val="18"/>
          <w:highlight w:val="none"/>
          <w:lang w:eastAsia="zh-CN"/>
        </w:rPr>
        <w:t xml:space="preserve"> </w:t>
      </w:r>
      <w:r>
        <w:rPr>
          <w:rFonts w:hint="default" w:ascii="Times New Roman" w:hAnsi="Times New Roman" w:cs="Times New Roman"/>
          <w:sz w:val="18"/>
          <w:szCs w:val="18"/>
          <w:highlight w:val="none"/>
        </w:rPr>
        <w:t>R., Crous-Duran</w:t>
      </w:r>
      <w:r>
        <w:rPr>
          <w:rFonts w:hint="eastAsia" w:ascii="Times New Roman" w:hAnsi="Times New Roman" w:cs="Times New Roman"/>
          <w:sz w:val="18"/>
          <w:szCs w:val="18"/>
          <w:highlight w:val="none"/>
          <w:lang w:eastAsia="zh-CN"/>
        </w:rPr>
        <w:t xml:space="preserve"> </w:t>
      </w:r>
      <w:r>
        <w:rPr>
          <w:rFonts w:hint="default" w:ascii="Times New Roman" w:hAnsi="Times New Roman" w:cs="Times New Roman"/>
          <w:sz w:val="18"/>
          <w:szCs w:val="18"/>
          <w:highlight w:val="none"/>
        </w:rPr>
        <w:t>J., Freese</w:t>
      </w:r>
      <w:r>
        <w:rPr>
          <w:rFonts w:hint="eastAsia" w:ascii="Times New Roman" w:hAnsi="Times New Roman" w:cs="Times New Roman"/>
          <w:sz w:val="18"/>
          <w:szCs w:val="18"/>
          <w:highlight w:val="none"/>
          <w:lang w:eastAsia="zh-CN"/>
        </w:rPr>
        <w:t xml:space="preserve"> </w:t>
      </w:r>
      <w:r>
        <w:rPr>
          <w:rFonts w:hint="default" w:ascii="Times New Roman" w:hAnsi="Times New Roman" w:cs="Times New Roman"/>
          <w:sz w:val="18"/>
          <w:szCs w:val="18"/>
          <w:highlight w:val="none"/>
        </w:rPr>
        <w:t>D., Giannitsopoulos</w:t>
      </w:r>
      <w:r>
        <w:rPr>
          <w:rFonts w:hint="eastAsia" w:ascii="Times New Roman" w:hAnsi="Times New Roman" w:cs="Times New Roman"/>
          <w:sz w:val="18"/>
          <w:szCs w:val="18"/>
          <w:highlight w:val="none"/>
          <w:lang w:eastAsia="zh-CN"/>
        </w:rPr>
        <w:t xml:space="preserve"> </w:t>
      </w:r>
      <w:r>
        <w:rPr>
          <w:rFonts w:hint="default" w:ascii="Times New Roman" w:hAnsi="Times New Roman" w:cs="Times New Roman"/>
          <w:sz w:val="18"/>
          <w:szCs w:val="18"/>
          <w:highlight w:val="none"/>
        </w:rPr>
        <w:t>M., Graves</w:t>
      </w:r>
      <w:r>
        <w:rPr>
          <w:rFonts w:hint="eastAsia" w:ascii="Times New Roman" w:hAnsi="Times New Roman" w:cs="Times New Roman"/>
          <w:sz w:val="18"/>
          <w:szCs w:val="18"/>
          <w:highlight w:val="none"/>
          <w:lang w:eastAsia="zh-CN"/>
        </w:rPr>
        <w:t xml:space="preserve"> </w:t>
      </w:r>
      <w:r>
        <w:rPr>
          <w:rFonts w:hint="default" w:ascii="Times New Roman" w:hAnsi="Times New Roman" w:cs="Times New Roman"/>
          <w:sz w:val="18"/>
          <w:szCs w:val="18"/>
          <w:highlight w:val="none"/>
        </w:rPr>
        <w:t>A., Jäger</w:t>
      </w:r>
      <w:r>
        <w:rPr>
          <w:rFonts w:hint="eastAsia" w:ascii="Times New Roman" w:hAnsi="Times New Roman" w:cs="Times New Roman"/>
          <w:sz w:val="18"/>
          <w:szCs w:val="18"/>
          <w:highlight w:val="none"/>
          <w:lang w:eastAsia="zh-CN"/>
        </w:rPr>
        <w:t xml:space="preserve"> </w:t>
      </w:r>
      <w:r>
        <w:rPr>
          <w:rFonts w:hint="default" w:ascii="Times New Roman" w:hAnsi="Times New Roman" w:cs="Times New Roman"/>
          <w:sz w:val="18"/>
          <w:szCs w:val="18"/>
          <w:highlight w:val="none"/>
        </w:rPr>
        <w:t>M., Lamersdorf</w:t>
      </w:r>
      <w:r>
        <w:rPr>
          <w:rFonts w:hint="eastAsia" w:ascii="Times New Roman" w:hAnsi="Times New Roman" w:cs="Times New Roman"/>
          <w:sz w:val="18"/>
          <w:szCs w:val="18"/>
          <w:highlight w:val="none"/>
          <w:lang w:eastAsia="zh-CN"/>
        </w:rPr>
        <w:t xml:space="preserve"> </w:t>
      </w:r>
      <w:r>
        <w:rPr>
          <w:rFonts w:hint="default" w:ascii="Times New Roman" w:hAnsi="Times New Roman" w:cs="Times New Roman"/>
          <w:sz w:val="18"/>
          <w:szCs w:val="18"/>
          <w:highlight w:val="none"/>
        </w:rPr>
        <w:t>N., Memedemin</w:t>
      </w:r>
      <w:r>
        <w:rPr>
          <w:rFonts w:hint="eastAsia" w:ascii="Times New Roman" w:hAnsi="Times New Roman" w:cs="Times New Roman"/>
          <w:sz w:val="18"/>
          <w:szCs w:val="18"/>
          <w:highlight w:val="none"/>
          <w:lang w:eastAsia="zh-CN"/>
        </w:rPr>
        <w:t xml:space="preserve"> </w:t>
      </w:r>
      <w:r>
        <w:rPr>
          <w:rFonts w:hint="default" w:ascii="Times New Roman" w:hAnsi="Times New Roman" w:cs="Times New Roman"/>
          <w:sz w:val="18"/>
          <w:szCs w:val="18"/>
          <w:highlight w:val="none"/>
        </w:rPr>
        <w:t>D., Mosquera-Losada</w:t>
      </w:r>
      <w:r>
        <w:rPr>
          <w:rFonts w:hint="eastAsia" w:ascii="Times New Roman" w:hAnsi="Times New Roman" w:cs="Times New Roman"/>
          <w:sz w:val="18"/>
          <w:szCs w:val="18"/>
          <w:highlight w:val="none"/>
          <w:lang w:eastAsia="zh-CN"/>
        </w:rPr>
        <w:t xml:space="preserve"> </w:t>
      </w:r>
      <w:r>
        <w:rPr>
          <w:rFonts w:hint="default" w:ascii="Times New Roman" w:hAnsi="Times New Roman" w:cs="Times New Roman"/>
          <w:sz w:val="18"/>
          <w:szCs w:val="18"/>
          <w:highlight w:val="none"/>
        </w:rPr>
        <w:t>R., Pantera</w:t>
      </w:r>
      <w:r>
        <w:rPr>
          <w:rFonts w:hint="eastAsia" w:ascii="Times New Roman" w:hAnsi="Times New Roman" w:cs="Times New Roman"/>
          <w:sz w:val="18"/>
          <w:szCs w:val="18"/>
          <w:highlight w:val="none"/>
          <w:lang w:eastAsia="zh-CN"/>
        </w:rPr>
        <w:t xml:space="preserve"> </w:t>
      </w:r>
      <w:r>
        <w:rPr>
          <w:rFonts w:hint="default" w:ascii="Times New Roman" w:hAnsi="Times New Roman" w:cs="Times New Roman"/>
          <w:sz w:val="18"/>
          <w:szCs w:val="18"/>
          <w:highlight w:val="none"/>
        </w:rPr>
        <w:t>A., Paracchini</w:t>
      </w:r>
      <w:r>
        <w:rPr>
          <w:rFonts w:hint="eastAsia" w:ascii="Times New Roman" w:hAnsi="Times New Roman" w:cs="Times New Roman"/>
          <w:sz w:val="18"/>
          <w:szCs w:val="18"/>
          <w:highlight w:val="none"/>
          <w:lang w:eastAsia="zh-CN"/>
        </w:rPr>
        <w:t xml:space="preserve"> </w:t>
      </w:r>
      <w:r>
        <w:rPr>
          <w:rFonts w:hint="default" w:ascii="Times New Roman" w:hAnsi="Times New Roman" w:cs="Times New Roman"/>
          <w:sz w:val="18"/>
          <w:szCs w:val="18"/>
          <w:highlight w:val="none"/>
        </w:rPr>
        <w:t>M., Paris</w:t>
      </w:r>
      <w:r>
        <w:rPr>
          <w:rFonts w:hint="eastAsia" w:ascii="Times New Roman" w:hAnsi="Times New Roman" w:cs="Times New Roman"/>
          <w:sz w:val="18"/>
          <w:szCs w:val="18"/>
          <w:highlight w:val="none"/>
          <w:lang w:eastAsia="zh-CN"/>
        </w:rPr>
        <w:t xml:space="preserve"> </w:t>
      </w:r>
      <w:r>
        <w:rPr>
          <w:rFonts w:hint="default" w:ascii="Times New Roman" w:hAnsi="Times New Roman" w:cs="Times New Roman"/>
          <w:sz w:val="18"/>
          <w:szCs w:val="18"/>
          <w:highlight w:val="none"/>
        </w:rPr>
        <w:t>P., Roces-Díaz</w:t>
      </w:r>
      <w:r>
        <w:rPr>
          <w:rFonts w:hint="eastAsia" w:ascii="Times New Roman" w:hAnsi="Times New Roman" w:cs="Times New Roman"/>
          <w:sz w:val="18"/>
          <w:szCs w:val="18"/>
          <w:highlight w:val="none"/>
          <w:lang w:eastAsia="zh-CN"/>
        </w:rPr>
        <w:t xml:space="preserve"> </w:t>
      </w:r>
      <w:r>
        <w:rPr>
          <w:rFonts w:hint="default" w:ascii="Times New Roman" w:hAnsi="Times New Roman" w:cs="Times New Roman"/>
          <w:sz w:val="18"/>
          <w:szCs w:val="18"/>
          <w:highlight w:val="none"/>
        </w:rPr>
        <w:t>J., Rolo</w:t>
      </w:r>
      <w:r>
        <w:rPr>
          <w:rFonts w:hint="eastAsia" w:ascii="Times New Roman" w:hAnsi="Times New Roman" w:cs="Times New Roman"/>
          <w:sz w:val="18"/>
          <w:szCs w:val="18"/>
          <w:highlight w:val="none"/>
          <w:lang w:eastAsia="zh-CN"/>
        </w:rPr>
        <w:t xml:space="preserve"> </w:t>
      </w:r>
      <w:r>
        <w:rPr>
          <w:rFonts w:hint="default" w:ascii="Times New Roman" w:hAnsi="Times New Roman" w:cs="Times New Roman"/>
          <w:sz w:val="18"/>
          <w:szCs w:val="18"/>
          <w:highlight w:val="none"/>
        </w:rPr>
        <w:t>V., Rosati</w:t>
      </w:r>
      <w:r>
        <w:rPr>
          <w:rFonts w:hint="eastAsia" w:ascii="Times New Roman" w:hAnsi="Times New Roman" w:cs="Times New Roman"/>
          <w:sz w:val="18"/>
          <w:szCs w:val="18"/>
          <w:highlight w:val="none"/>
          <w:lang w:eastAsia="zh-CN"/>
        </w:rPr>
        <w:t xml:space="preserve"> </w:t>
      </w:r>
      <w:r>
        <w:rPr>
          <w:rFonts w:hint="default" w:ascii="Times New Roman" w:hAnsi="Times New Roman" w:cs="Times New Roman"/>
          <w:sz w:val="18"/>
          <w:szCs w:val="18"/>
          <w:highlight w:val="none"/>
        </w:rPr>
        <w:t>A., Șandor</w:t>
      </w:r>
      <w:r>
        <w:rPr>
          <w:rFonts w:hint="eastAsia" w:ascii="Times New Roman" w:hAnsi="Times New Roman" w:cs="Times New Roman"/>
          <w:sz w:val="18"/>
          <w:szCs w:val="18"/>
          <w:highlight w:val="none"/>
          <w:lang w:eastAsia="zh-CN"/>
        </w:rPr>
        <w:t xml:space="preserve"> </w:t>
      </w:r>
      <w:r>
        <w:rPr>
          <w:rFonts w:hint="default" w:ascii="Times New Roman" w:hAnsi="Times New Roman" w:cs="Times New Roman"/>
          <w:sz w:val="18"/>
          <w:szCs w:val="18"/>
          <w:highlight w:val="none"/>
        </w:rPr>
        <w:t>M., Smith</w:t>
      </w:r>
      <w:r>
        <w:rPr>
          <w:rFonts w:hint="eastAsia" w:ascii="Times New Roman" w:hAnsi="Times New Roman" w:cs="Times New Roman"/>
          <w:sz w:val="18"/>
          <w:szCs w:val="18"/>
          <w:highlight w:val="none"/>
          <w:lang w:eastAsia="zh-CN"/>
        </w:rPr>
        <w:t xml:space="preserve"> </w:t>
      </w:r>
      <w:r>
        <w:rPr>
          <w:rFonts w:hint="default" w:ascii="Times New Roman" w:hAnsi="Times New Roman" w:cs="Times New Roman"/>
          <w:sz w:val="18"/>
          <w:szCs w:val="18"/>
          <w:highlight w:val="none"/>
        </w:rPr>
        <w:t>J., Szerencsits</w:t>
      </w:r>
      <w:r>
        <w:rPr>
          <w:rFonts w:hint="eastAsia" w:ascii="Times New Roman" w:hAnsi="Times New Roman" w:cs="Times New Roman"/>
          <w:sz w:val="18"/>
          <w:szCs w:val="18"/>
          <w:highlight w:val="none"/>
          <w:lang w:eastAsia="zh-CN"/>
        </w:rPr>
        <w:t xml:space="preserve"> </w:t>
      </w:r>
      <w:r>
        <w:rPr>
          <w:rFonts w:hint="default" w:ascii="Times New Roman" w:hAnsi="Times New Roman" w:cs="Times New Roman"/>
          <w:sz w:val="18"/>
          <w:szCs w:val="18"/>
          <w:highlight w:val="none"/>
        </w:rPr>
        <w:t>E., Varga</w:t>
      </w:r>
      <w:r>
        <w:rPr>
          <w:rFonts w:hint="eastAsia" w:ascii="Times New Roman" w:hAnsi="Times New Roman" w:cs="Times New Roman"/>
          <w:sz w:val="18"/>
          <w:szCs w:val="18"/>
          <w:highlight w:val="none"/>
          <w:lang w:eastAsia="zh-CN"/>
        </w:rPr>
        <w:t xml:space="preserve"> </w:t>
      </w:r>
      <w:r>
        <w:rPr>
          <w:rFonts w:hint="default" w:ascii="Times New Roman" w:hAnsi="Times New Roman" w:cs="Times New Roman"/>
          <w:sz w:val="18"/>
          <w:szCs w:val="18"/>
          <w:highlight w:val="none"/>
        </w:rPr>
        <w:t>A., Viaud</w:t>
      </w:r>
      <w:r>
        <w:rPr>
          <w:rFonts w:hint="eastAsia" w:ascii="Times New Roman" w:hAnsi="Times New Roman" w:cs="Times New Roman"/>
          <w:sz w:val="18"/>
          <w:szCs w:val="18"/>
          <w:highlight w:val="none"/>
          <w:lang w:eastAsia="zh-CN"/>
        </w:rPr>
        <w:t xml:space="preserve"> </w:t>
      </w:r>
      <w:r>
        <w:rPr>
          <w:rFonts w:hint="default" w:ascii="Times New Roman" w:hAnsi="Times New Roman" w:cs="Times New Roman"/>
          <w:sz w:val="18"/>
          <w:szCs w:val="18"/>
          <w:highlight w:val="none"/>
        </w:rPr>
        <w:t>V., Wawer</w:t>
      </w:r>
      <w:r>
        <w:rPr>
          <w:rFonts w:hint="eastAsia" w:ascii="Times New Roman" w:hAnsi="Times New Roman" w:cs="Times New Roman"/>
          <w:sz w:val="18"/>
          <w:szCs w:val="18"/>
          <w:highlight w:val="none"/>
          <w:lang w:eastAsia="zh-CN"/>
        </w:rPr>
        <w:t xml:space="preserve"> </w:t>
      </w:r>
      <w:r>
        <w:rPr>
          <w:rFonts w:hint="default" w:ascii="Times New Roman" w:hAnsi="Times New Roman" w:cs="Times New Roman"/>
          <w:sz w:val="18"/>
          <w:szCs w:val="18"/>
          <w:highlight w:val="none"/>
        </w:rPr>
        <w:t>R., Burgess</w:t>
      </w:r>
      <w:r>
        <w:rPr>
          <w:rFonts w:hint="eastAsia" w:ascii="Times New Roman" w:hAnsi="Times New Roman" w:cs="Times New Roman"/>
          <w:sz w:val="18"/>
          <w:szCs w:val="18"/>
          <w:highlight w:val="none"/>
          <w:lang w:eastAsia="zh-CN"/>
        </w:rPr>
        <w:t xml:space="preserve"> </w:t>
      </w:r>
      <w:r>
        <w:rPr>
          <w:rFonts w:hint="default" w:ascii="Times New Roman" w:hAnsi="Times New Roman" w:cs="Times New Roman"/>
          <w:sz w:val="18"/>
          <w:szCs w:val="18"/>
          <w:highlight w:val="none"/>
        </w:rPr>
        <w:t xml:space="preserve">P., </w:t>
      </w:r>
      <w:r>
        <w:rPr>
          <w:rFonts w:hint="eastAsia" w:ascii="Times New Roman" w:hAnsi="Times New Roman" w:cs="Times New Roman"/>
          <w:sz w:val="18"/>
          <w:szCs w:val="18"/>
          <w:highlight w:val="none"/>
          <w:lang w:eastAsia="zh-CN"/>
        </w:rPr>
        <w:t>and</w:t>
      </w:r>
      <w:r>
        <w:rPr>
          <w:rFonts w:hint="default" w:ascii="Times New Roman" w:hAnsi="Times New Roman" w:cs="Times New Roman"/>
          <w:sz w:val="18"/>
          <w:szCs w:val="18"/>
          <w:highlight w:val="none"/>
        </w:rPr>
        <w:t xml:space="preserve"> Herzog</w:t>
      </w:r>
      <w:r>
        <w:rPr>
          <w:rFonts w:hint="eastAsia" w:ascii="Times New Roman" w:hAnsi="Times New Roman" w:cs="Times New Roman"/>
          <w:sz w:val="18"/>
          <w:szCs w:val="18"/>
          <w:highlight w:val="none"/>
          <w:lang w:eastAsia="zh-CN"/>
        </w:rPr>
        <w:t xml:space="preserve"> </w:t>
      </w:r>
      <w:r>
        <w:rPr>
          <w:rFonts w:hint="default" w:ascii="Times New Roman" w:hAnsi="Times New Roman" w:cs="Times New Roman"/>
          <w:sz w:val="18"/>
          <w:szCs w:val="18"/>
          <w:highlight w:val="none"/>
        </w:rPr>
        <w:t>F., 2019</w:t>
      </w:r>
      <w:r>
        <w:rPr>
          <w:rFonts w:hint="eastAsia" w:ascii="Times New Roman" w:hAnsi="Times New Roman" w:cs="Times New Roman"/>
          <w:sz w:val="18"/>
          <w:szCs w:val="18"/>
          <w:highlight w:val="none"/>
          <w:lang w:val="en-US" w:eastAsia="zh-CN"/>
        </w:rPr>
        <w:t>,</w:t>
      </w:r>
      <w:r>
        <w:rPr>
          <w:rFonts w:hint="default" w:ascii="Times New Roman" w:hAnsi="Times New Roman" w:cs="Times New Roman"/>
          <w:sz w:val="18"/>
          <w:szCs w:val="18"/>
          <w:highlight w:val="none"/>
        </w:rPr>
        <w:t xml:space="preserve"> Agroforestry creates carbon sinks whilst enhancing the environment in agricultural landscapes in Europe. Land Use Policy. </w:t>
      </w: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"https://doi.org/10.1016/J.LANDUSEPOL.2019.02.025." </w:instrText>
      </w:r>
      <w:r>
        <w:rPr>
          <w:rFonts w:hint="default" w:ascii="Times New Roman" w:hAnsi="Times New Roman" w:cs="Times New Roman"/>
          <w:sz w:val="18"/>
          <w:szCs w:val="18"/>
          <w:highlight w:val="none"/>
        </w:rPr>
        <w:fldChar w:fldCharType="separate"/>
      </w:r>
      <w:r>
        <w:rPr>
          <w:rStyle w:val="9"/>
          <w:rFonts w:hint="default" w:ascii="Times New Roman" w:hAnsi="Times New Roman" w:cs="Times New Roman"/>
          <w:sz w:val="18"/>
          <w:szCs w:val="18"/>
          <w:highlight w:val="none"/>
        </w:rPr>
        <w:t>https://doi.org/10.1016/J.LANDUSEPOL.2019.02.025.</w:t>
      </w:r>
      <w:r>
        <w:rPr>
          <w:rFonts w:hint="default" w:ascii="Times New Roman" w:hAnsi="Times New Roman" w:cs="Times New Roman"/>
          <w:sz w:val="18"/>
          <w:szCs w:val="18"/>
          <w:highlight w:val="none"/>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rPr>
      </w:pPr>
      <w:r>
        <w:rPr>
          <w:rFonts w:hint="default" w:ascii="Times New Roman" w:hAnsi="Times New Roman" w:cs="Times New Roman"/>
          <w:sz w:val="18"/>
          <w:szCs w:val="18"/>
        </w:rPr>
        <w:t>Lal</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R., 2004</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Soil carbon sequestration to mitigate climate change. Geoderma, 123</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1-22. </w:t>
      </w: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HYPERLINK "https://doi.org/10.1016/J.GEODERMA.2004.01.032." </w:instrText>
      </w:r>
      <w:r>
        <w:rPr>
          <w:rFonts w:hint="default" w:ascii="Times New Roman" w:hAnsi="Times New Roman" w:cs="Times New Roman"/>
          <w:sz w:val="18"/>
          <w:szCs w:val="18"/>
        </w:rPr>
        <w:fldChar w:fldCharType="separate"/>
      </w:r>
      <w:r>
        <w:rPr>
          <w:rStyle w:val="9"/>
          <w:rFonts w:hint="default" w:ascii="Times New Roman" w:hAnsi="Times New Roman" w:cs="Times New Roman"/>
          <w:sz w:val="18"/>
          <w:szCs w:val="18"/>
        </w:rPr>
        <w:t>https://doi.org/10.1016/J.GEODERMA.2004.01.032.</w:t>
      </w:r>
      <w:r>
        <w:rPr>
          <w:rFonts w:hint="default" w:ascii="Times New Roman" w:hAnsi="Times New Roman" w:cs="Times New Roman"/>
          <w:sz w:val="18"/>
          <w:szCs w:val="18"/>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rPr>
      </w:pPr>
      <w:r>
        <w:rPr>
          <w:rFonts w:hint="default" w:ascii="Times New Roman" w:hAnsi="Times New Roman" w:cs="Times New Roman"/>
          <w:sz w:val="18"/>
          <w:szCs w:val="18"/>
        </w:rPr>
        <w:t>Lal</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R., 2020. The role of industry and the private sector in promoting the “4 per 1000” initiative and other negative emission technologies</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Geoderma, 378</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114613. </w:t>
      </w: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HYPERLINK "https://doi.org/10.1016/j.geoderma.2020.114613." </w:instrText>
      </w:r>
      <w:r>
        <w:rPr>
          <w:rFonts w:hint="default" w:ascii="Times New Roman" w:hAnsi="Times New Roman" w:cs="Times New Roman"/>
          <w:sz w:val="18"/>
          <w:szCs w:val="18"/>
        </w:rPr>
        <w:fldChar w:fldCharType="separate"/>
      </w:r>
      <w:r>
        <w:rPr>
          <w:rStyle w:val="9"/>
          <w:rFonts w:hint="default" w:ascii="Times New Roman" w:hAnsi="Times New Roman" w:cs="Times New Roman"/>
          <w:sz w:val="18"/>
          <w:szCs w:val="18"/>
        </w:rPr>
        <w:t>https://doi.org/10.1016/j.geoderma.2020.114613.</w:t>
      </w:r>
      <w:r>
        <w:rPr>
          <w:rFonts w:hint="default" w:ascii="Times New Roman" w:hAnsi="Times New Roman" w:cs="Times New Roman"/>
          <w:sz w:val="18"/>
          <w:szCs w:val="18"/>
        </w:rPr>
        <w:fldChar w:fldCharType="end"/>
      </w:r>
    </w:p>
    <w:p>
      <w:pPr>
        <w:keepNext w:val="0"/>
        <w:keepLines w:val="0"/>
        <w:pageBreakBefore w:val="0"/>
        <w:widowControl w:val="0"/>
        <w:kinsoku/>
        <w:wordWrap/>
        <w:overflowPunct/>
        <w:topLinePunct w:val="0"/>
        <w:autoSpaceDE/>
        <w:autoSpaceDN/>
        <w:bidi w:val="0"/>
        <w:adjustRightInd/>
        <w:snapToGrid/>
        <w:ind w:left="360" w:hanging="360" w:hangingChars="200"/>
        <w:textAlignment w:val="auto"/>
        <w:rPr>
          <w:rFonts w:hint="default" w:ascii="Times New Roman" w:hAnsi="Times New Roman" w:cs="Times New Roman"/>
          <w:sz w:val="18"/>
          <w:szCs w:val="18"/>
        </w:rPr>
      </w:pPr>
      <w:r>
        <w:rPr>
          <w:rFonts w:hint="default" w:ascii="Times New Roman" w:hAnsi="Times New Roman" w:cs="Times New Roman"/>
          <w:sz w:val="18"/>
          <w:szCs w:val="18"/>
        </w:rPr>
        <w:t>Liu</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W., Zhang</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G., Wang</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X., Lu</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 xml:space="preserve">F., </w:t>
      </w:r>
      <w:r>
        <w:rPr>
          <w:rFonts w:hint="eastAsia" w:ascii="Times New Roman" w:hAnsi="Times New Roman" w:cs="Times New Roman"/>
          <w:sz w:val="18"/>
          <w:szCs w:val="18"/>
          <w:lang w:eastAsia="zh-CN"/>
        </w:rPr>
        <w:t>and</w:t>
      </w:r>
      <w:r>
        <w:rPr>
          <w:rFonts w:hint="default" w:ascii="Times New Roman" w:hAnsi="Times New Roman" w:cs="Times New Roman"/>
          <w:sz w:val="18"/>
          <w:szCs w:val="18"/>
        </w:rPr>
        <w:t xml:space="preserve"> Ouyang</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Z., 2018</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Carbon footprint of main crop production in China: Magnitude, spatial-temporal pattern and attribution.. The Science of the total environment, 645</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1296-1308. </w:t>
      </w: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HYPERLINK "https://doi.org/10.1016/j.scitotenv.2018.07.104." </w:instrText>
      </w:r>
      <w:r>
        <w:rPr>
          <w:rFonts w:hint="default" w:ascii="Times New Roman" w:hAnsi="Times New Roman" w:cs="Times New Roman"/>
          <w:sz w:val="18"/>
          <w:szCs w:val="18"/>
        </w:rPr>
        <w:fldChar w:fldCharType="separate"/>
      </w:r>
      <w:r>
        <w:rPr>
          <w:rStyle w:val="9"/>
          <w:rFonts w:hint="default" w:ascii="Times New Roman" w:hAnsi="Times New Roman" w:cs="Times New Roman"/>
          <w:sz w:val="18"/>
          <w:szCs w:val="18"/>
        </w:rPr>
        <w:t>https://doi.org/10.1016/j.scitotenv.2018.07.104.</w:t>
      </w:r>
      <w:r>
        <w:rPr>
          <w:rFonts w:hint="default" w:ascii="Times New Roman" w:hAnsi="Times New Roman" w:cs="Times New Roman"/>
          <w:sz w:val="18"/>
          <w:szCs w:val="18"/>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rPr>
      </w:pPr>
      <w:r>
        <w:rPr>
          <w:rFonts w:hint="default" w:ascii="Times New Roman" w:hAnsi="Times New Roman" w:cs="Times New Roman"/>
          <w:sz w:val="18"/>
          <w:szCs w:val="18"/>
        </w:rPr>
        <w:t>Magnolo</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F., Dekker</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H., Decorte</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M., Bezzi</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G., Rossi</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L., Meers</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 xml:space="preserve">E., </w:t>
      </w:r>
      <w:r>
        <w:rPr>
          <w:rFonts w:hint="eastAsia" w:ascii="Times New Roman" w:hAnsi="Times New Roman" w:cs="Times New Roman"/>
          <w:sz w:val="18"/>
          <w:szCs w:val="18"/>
          <w:lang w:eastAsia="zh-CN"/>
        </w:rPr>
        <w:t>and</w:t>
      </w:r>
      <w:r>
        <w:rPr>
          <w:rFonts w:hint="default" w:ascii="Times New Roman" w:hAnsi="Times New Roman" w:cs="Times New Roman"/>
          <w:sz w:val="18"/>
          <w:szCs w:val="18"/>
        </w:rPr>
        <w:t xml:space="preserve"> Speelman</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S., 2021</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The Role of Sequential Cropping and Biogasdoneright™ in Enhancing the Sustainability of Agricultural Systems in Europe. Agronomy. </w:t>
      </w: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HYPERLINK "https://doi.org/10.3390/agronomy11112102." </w:instrText>
      </w:r>
      <w:r>
        <w:rPr>
          <w:rFonts w:hint="default" w:ascii="Times New Roman" w:hAnsi="Times New Roman" w:cs="Times New Roman"/>
          <w:sz w:val="18"/>
          <w:szCs w:val="18"/>
        </w:rPr>
        <w:fldChar w:fldCharType="separate"/>
      </w:r>
      <w:r>
        <w:rPr>
          <w:rStyle w:val="9"/>
          <w:rFonts w:hint="default" w:ascii="Times New Roman" w:hAnsi="Times New Roman" w:cs="Times New Roman"/>
          <w:sz w:val="18"/>
          <w:szCs w:val="18"/>
        </w:rPr>
        <w:t>https://doi.org/10.3390/agronomy11112102.</w:t>
      </w:r>
      <w:r>
        <w:rPr>
          <w:rFonts w:hint="default" w:ascii="Times New Roman" w:hAnsi="Times New Roman" w:cs="Times New Roman"/>
          <w:sz w:val="18"/>
          <w:szCs w:val="18"/>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rPr>
      </w:pPr>
      <w:r>
        <w:rPr>
          <w:rFonts w:hint="default" w:ascii="Times New Roman" w:hAnsi="Times New Roman" w:cs="Times New Roman"/>
          <w:sz w:val="18"/>
          <w:szCs w:val="18"/>
        </w:rPr>
        <w:t>Nair</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P., Kumar</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B., Kumar</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 xml:space="preserve">B., </w:t>
      </w:r>
      <w:r>
        <w:rPr>
          <w:rFonts w:hint="eastAsia" w:ascii="Times New Roman" w:hAnsi="Times New Roman" w:cs="Times New Roman"/>
          <w:sz w:val="18"/>
          <w:szCs w:val="18"/>
          <w:lang w:eastAsia="zh-CN"/>
        </w:rPr>
        <w:t>and</w:t>
      </w:r>
      <w:r>
        <w:rPr>
          <w:rFonts w:hint="default" w:ascii="Times New Roman" w:hAnsi="Times New Roman" w:cs="Times New Roman"/>
          <w:sz w:val="18"/>
          <w:szCs w:val="18"/>
        </w:rPr>
        <w:t xml:space="preserve"> Nair</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V., 2009</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Agroforestry as a strategy for carbon sequestration. Journal of Plant Nutrition and Soil Science, 172</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10-23. </w:t>
      </w: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HYPERLINK "https://doi.org/10.1002/JPLN.200800030." </w:instrText>
      </w:r>
      <w:r>
        <w:rPr>
          <w:rFonts w:hint="default" w:ascii="Times New Roman" w:hAnsi="Times New Roman" w:cs="Times New Roman"/>
          <w:sz w:val="18"/>
          <w:szCs w:val="18"/>
        </w:rPr>
        <w:fldChar w:fldCharType="separate"/>
      </w:r>
      <w:r>
        <w:rPr>
          <w:rStyle w:val="9"/>
          <w:rFonts w:hint="default" w:ascii="Times New Roman" w:hAnsi="Times New Roman" w:cs="Times New Roman"/>
          <w:sz w:val="18"/>
          <w:szCs w:val="18"/>
        </w:rPr>
        <w:t>https://doi.org/10.1002/JPLN.200800030.</w:t>
      </w:r>
      <w:r>
        <w:rPr>
          <w:rFonts w:hint="default" w:ascii="Times New Roman" w:hAnsi="Times New Roman" w:cs="Times New Roman"/>
          <w:sz w:val="18"/>
          <w:szCs w:val="18"/>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rPr>
      </w:pPr>
      <w:r>
        <w:rPr>
          <w:rFonts w:hint="default" w:ascii="Times New Roman" w:hAnsi="Times New Roman" w:cs="Times New Roman"/>
          <w:sz w:val="18"/>
          <w:szCs w:val="18"/>
        </w:rPr>
        <w:t>O'Keeffe</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 xml:space="preserve">S., </w:t>
      </w:r>
      <w:r>
        <w:rPr>
          <w:rFonts w:hint="eastAsia" w:ascii="Times New Roman" w:hAnsi="Times New Roman" w:cs="Times New Roman"/>
          <w:sz w:val="18"/>
          <w:szCs w:val="18"/>
          <w:lang w:eastAsia="zh-CN"/>
        </w:rPr>
        <w:t>and</w:t>
      </w:r>
      <w:r>
        <w:rPr>
          <w:rFonts w:hint="default" w:ascii="Times New Roman" w:hAnsi="Times New Roman" w:cs="Times New Roman"/>
          <w:sz w:val="18"/>
          <w:szCs w:val="18"/>
        </w:rPr>
        <w:t xml:space="preserve"> Thrän</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D., 2019. Energy Crops in Regional Biogas Systems: An Integrative Spatial LCA to Assess the Influence of Crop Mix and Location on Cultivation GHG Emissions</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Sustainability. </w:t>
      </w: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HYPERLINK "https://doi.org/10.3390/su12010237." </w:instrText>
      </w:r>
      <w:r>
        <w:rPr>
          <w:rFonts w:hint="default" w:ascii="Times New Roman" w:hAnsi="Times New Roman" w:cs="Times New Roman"/>
          <w:sz w:val="18"/>
          <w:szCs w:val="18"/>
        </w:rPr>
        <w:fldChar w:fldCharType="separate"/>
      </w:r>
      <w:r>
        <w:rPr>
          <w:rStyle w:val="9"/>
          <w:rFonts w:hint="default" w:ascii="Times New Roman" w:hAnsi="Times New Roman" w:cs="Times New Roman"/>
          <w:sz w:val="18"/>
          <w:szCs w:val="18"/>
        </w:rPr>
        <w:t>https://doi.org/10.3390/su12010237.</w:t>
      </w:r>
      <w:r>
        <w:rPr>
          <w:rFonts w:hint="default" w:ascii="Times New Roman" w:hAnsi="Times New Roman" w:cs="Times New Roman"/>
          <w:sz w:val="18"/>
          <w:szCs w:val="18"/>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rPr>
      </w:pPr>
      <w:r>
        <w:rPr>
          <w:rFonts w:hint="default" w:ascii="Times New Roman" w:hAnsi="Times New Roman" w:cs="Times New Roman"/>
          <w:sz w:val="18"/>
          <w:szCs w:val="18"/>
        </w:rPr>
        <w:t>Purdy</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A., Pathare</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P., Wang</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Y., Roskilly</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 xml:space="preserve">A., </w:t>
      </w:r>
      <w:r>
        <w:rPr>
          <w:rFonts w:hint="eastAsia" w:ascii="Times New Roman" w:hAnsi="Times New Roman" w:cs="Times New Roman"/>
          <w:sz w:val="18"/>
          <w:szCs w:val="18"/>
          <w:lang w:eastAsia="zh-CN"/>
        </w:rPr>
        <w:t>and</w:t>
      </w:r>
      <w:r>
        <w:rPr>
          <w:rFonts w:hint="default" w:ascii="Times New Roman" w:hAnsi="Times New Roman" w:cs="Times New Roman"/>
          <w:sz w:val="18"/>
          <w:szCs w:val="18"/>
        </w:rPr>
        <w:t xml:space="preserve"> Huang</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Y., 2018</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Towards sustainable farming: Feasibility study into energy recovery from bio-wastes on a small-scale dairy farm</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Journal of Cleaner Production, 174</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899-904. </w:t>
      </w: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HYPERLINK "https://doi.org/10.1016/J.JCLEPRO.2017.11.018." </w:instrText>
      </w:r>
      <w:r>
        <w:rPr>
          <w:rFonts w:hint="default" w:ascii="Times New Roman" w:hAnsi="Times New Roman" w:cs="Times New Roman"/>
          <w:sz w:val="18"/>
          <w:szCs w:val="18"/>
        </w:rPr>
        <w:fldChar w:fldCharType="separate"/>
      </w:r>
      <w:r>
        <w:rPr>
          <w:rStyle w:val="9"/>
          <w:rFonts w:hint="default" w:ascii="Times New Roman" w:hAnsi="Times New Roman" w:cs="Times New Roman"/>
          <w:sz w:val="18"/>
          <w:szCs w:val="18"/>
        </w:rPr>
        <w:t>https://doi.org/10.1016/J.JCLEPRO.2017.11.018.</w:t>
      </w:r>
      <w:r>
        <w:rPr>
          <w:rFonts w:hint="default" w:ascii="Times New Roman" w:hAnsi="Times New Roman" w:cs="Times New Roman"/>
          <w:sz w:val="18"/>
          <w:szCs w:val="18"/>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rPr>
      </w:pPr>
      <w:r>
        <w:rPr>
          <w:rFonts w:hint="default" w:ascii="Times New Roman" w:hAnsi="Times New Roman" w:cs="Times New Roman"/>
          <w:sz w:val="18"/>
          <w:szCs w:val="18"/>
        </w:rPr>
        <w:t>Qiu</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J., Li</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C., Wang</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L., Tang</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H., Li</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 xml:space="preserve">H., </w:t>
      </w:r>
      <w:r>
        <w:rPr>
          <w:rFonts w:hint="eastAsia" w:ascii="Times New Roman" w:hAnsi="Times New Roman" w:cs="Times New Roman"/>
          <w:sz w:val="18"/>
          <w:szCs w:val="18"/>
          <w:lang w:eastAsia="zh-CN"/>
        </w:rPr>
        <w:t>and</w:t>
      </w:r>
      <w:r>
        <w:rPr>
          <w:rFonts w:hint="default" w:ascii="Times New Roman" w:hAnsi="Times New Roman" w:cs="Times New Roman"/>
          <w:sz w:val="18"/>
          <w:szCs w:val="18"/>
        </w:rPr>
        <w:t xml:space="preserve"> Ranst</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E., 2009</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Modeling impacts of carbon sequestration on net greenhouse gas emissions from agricultural soils in China. Global Biogeochemical Cycles, 23. </w:t>
      </w: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HYPERLINK "https://doi.org/10.1029/2008GB003180." </w:instrText>
      </w:r>
      <w:r>
        <w:rPr>
          <w:rFonts w:hint="default" w:ascii="Times New Roman" w:hAnsi="Times New Roman" w:cs="Times New Roman"/>
          <w:sz w:val="18"/>
          <w:szCs w:val="18"/>
        </w:rPr>
        <w:fldChar w:fldCharType="separate"/>
      </w:r>
      <w:r>
        <w:rPr>
          <w:rStyle w:val="9"/>
          <w:rFonts w:hint="default" w:ascii="Times New Roman" w:hAnsi="Times New Roman" w:cs="Times New Roman"/>
          <w:sz w:val="18"/>
          <w:szCs w:val="18"/>
        </w:rPr>
        <w:t>https://doi.org/10.1029/2008GB003180.</w:t>
      </w:r>
      <w:r>
        <w:rPr>
          <w:rFonts w:hint="default" w:ascii="Times New Roman" w:hAnsi="Times New Roman" w:cs="Times New Roman"/>
          <w:sz w:val="18"/>
          <w:szCs w:val="18"/>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rPr>
      </w:pPr>
      <w:r>
        <w:rPr>
          <w:rFonts w:hint="default" w:ascii="Times New Roman" w:hAnsi="Times New Roman" w:cs="Times New Roman"/>
          <w:sz w:val="18"/>
          <w:szCs w:val="18"/>
        </w:rPr>
        <w:t>Rosa</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 xml:space="preserve">L., </w:t>
      </w:r>
      <w:r>
        <w:rPr>
          <w:rFonts w:hint="eastAsia" w:ascii="Times New Roman" w:hAnsi="Times New Roman" w:cs="Times New Roman"/>
          <w:sz w:val="18"/>
          <w:szCs w:val="18"/>
          <w:lang w:eastAsia="zh-CN"/>
        </w:rPr>
        <w:t>and</w:t>
      </w:r>
      <w:r>
        <w:rPr>
          <w:rFonts w:hint="default" w:ascii="Times New Roman" w:hAnsi="Times New Roman" w:cs="Times New Roman"/>
          <w:sz w:val="18"/>
          <w:szCs w:val="18"/>
        </w:rPr>
        <w:t xml:space="preserve"> Gabrielli</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P., 2023</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Achieving net-zero emissions in agriculture: a review. Environmental Research Letters, 18. </w:t>
      </w: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HYPERLINK "https://doi.org/10.1088/1748-9326/acd5e8." </w:instrText>
      </w:r>
      <w:r>
        <w:rPr>
          <w:rFonts w:hint="default" w:ascii="Times New Roman" w:hAnsi="Times New Roman" w:cs="Times New Roman"/>
          <w:sz w:val="18"/>
          <w:szCs w:val="18"/>
        </w:rPr>
        <w:fldChar w:fldCharType="separate"/>
      </w:r>
      <w:r>
        <w:rPr>
          <w:rStyle w:val="9"/>
          <w:rFonts w:hint="default" w:ascii="Times New Roman" w:hAnsi="Times New Roman" w:cs="Times New Roman"/>
          <w:sz w:val="18"/>
          <w:szCs w:val="18"/>
        </w:rPr>
        <w:t>https://doi.org/10.1088/1748-9326/acd5e8.</w:t>
      </w:r>
      <w:r>
        <w:rPr>
          <w:rFonts w:hint="default" w:ascii="Times New Roman" w:hAnsi="Times New Roman" w:cs="Times New Roman"/>
          <w:sz w:val="18"/>
          <w:szCs w:val="18"/>
        </w:rPr>
        <w:fldChar w:fldCharType="end"/>
      </w:r>
    </w:p>
    <w:p>
      <w:pPr>
        <w:keepNext w:val="0"/>
        <w:keepLines w:val="0"/>
        <w:pageBreakBefore w:val="0"/>
        <w:widowControl w:val="0"/>
        <w:kinsoku/>
        <w:wordWrap/>
        <w:overflowPunct/>
        <w:topLinePunct w:val="0"/>
        <w:autoSpaceDE/>
        <w:autoSpaceDN/>
        <w:bidi w:val="0"/>
        <w:adjustRightInd/>
        <w:snapToGrid/>
        <w:ind w:left="360" w:hanging="360" w:hangingChars="200"/>
        <w:textAlignment w:val="auto"/>
        <w:rPr>
          <w:rFonts w:hint="default" w:ascii="Times New Roman" w:hAnsi="Times New Roman" w:cs="Times New Roman"/>
          <w:sz w:val="18"/>
          <w:szCs w:val="18"/>
        </w:rPr>
      </w:pPr>
      <w:r>
        <w:rPr>
          <w:rFonts w:hint="default" w:ascii="Times New Roman" w:hAnsi="Times New Roman" w:cs="Times New Roman"/>
          <w:sz w:val="18"/>
          <w:szCs w:val="18"/>
        </w:rPr>
        <w:t>Rumpel</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C., Amiraslani</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F., Chenu</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C., Cardenas</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M., Kaonga</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M., Koutika</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L., Ladha</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J., Madari</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B., Shirato</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Y., Smith</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P., Soudi</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B., Soussana</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J., Whitehead</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 xml:space="preserve">D., </w:t>
      </w:r>
      <w:r>
        <w:rPr>
          <w:rFonts w:hint="eastAsia" w:ascii="Times New Roman" w:hAnsi="Times New Roman" w:cs="Times New Roman"/>
          <w:sz w:val="18"/>
          <w:szCs w:val="18"/>
          <w:lang w:eastAsia="zh-CN"/>
        </w:rPr>
        <w:t>and</w:t>
      </w:r>
      <w:r>
        <w:rPr>
          <w:rFonts w:hint="default" w:ascii="Times New Roman" w:hAnsi="Times New Roman" w:cs="Times New Roman"/>
          <w:sz w:val="18"/>
          <w:szCs w:val="18"/>
        </w:rPr>
        <w:t xml:space="preserve"> Wollenberg</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E., 2019</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The 4p1000 initiative: Opportunities, limitations and challenges for implementing soil organic carbon sequestration as a sustainable development strategy. Ambio, 49</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350-360. </w:t>
      </w: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HYPERLINK "https://doi.org/10.1007/s13280-019-01165-2." </w:instrText>
      </w:r>
      <w:r>
        <w:rPr>
          <w:rFonts w:hint="default" w:ascii="Times New Roman" w:hAnsi="Times New Roman" w:cs="Times New Roman"/>
          <w:sz w:val="18"/>
          <w:szCs w:val="18"/>
        </w:rPr>
        <w:fldChar w:fldCharType="separate"/>
      </w:r>
      <w:r>
        <w:rPr>
          <w:rStyle w:val="9"/>
          <w:rFonts w:hint="default" w:ascii="Times New Roman" w:hAnsi="Times New Roman" w:cs="Times New Roman"/>
          <w:sz w:val="18"/>
          <w:szCs w:val="18"/>
        </w:rPr>
        <w:t>https://doi.org/10.1007/s13280-019-01165-2.</w:t>
      </w:r>
      <w:r>
        <w:rPr>
          <w:rFonts w:hint="default" w:ascii="Times New Roman" w:hAnsi="Times New Roman" w:cs="Times New Roman"/>
          <w:sz w:val="18"/>
          <w:szCs w:val="18"/>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rPr>
      </w:pPr>
      <w:r>
        <w:rPr>
          <w:rFonts w:hint="default" w:ascii="Times New Roman" w:hAnsi="Times New Roman" w:cs="Times New Roman"/>
          <w:sz w:val="18"/>
          <w:szCs w:val="18"/>
        </w:rPr>
        <w:t>Saikanth</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D., Kishore</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A., Sadineni</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T., Singh</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V., Upadhyay</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L., Kumar</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 xml:space="preserve">S., </w:t>
      </w:r>
      <w:r>
        <w:rPr>
          <w:rFonts w:hint="eastAsia" w:ascii="Times New Roman" w:hAnsi="Times New Roman" w:cs="Times New Roman"/>
          <w:sz w:val="18"/>
          <w:szCs w:val="18"/>
          <w:lang w:eastAsia="zh-CN"/>
        </w:rPr>
        <w:t>and</w:t>
      </w:r>
      <w:r>
        <w:rPr>
          <w:rFonts w:hint="default" w:ascii="Times New Roman" w:hAnsi="Times New Roman" w:cs="Times New Roman"/>
          <w:sz w:val="18"/>
          <w:szCs w:val="18"/>
        </w:rPr>
        <w:t xml:space="preserve"> Panigrahi</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C., 2023</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A Review on Exploring Carbon Farming as a Strategy to Mitigate Greenhouse Gas Emissions. International Journal of Plant </w:t>
      </w:r>
      <w:r>
        <w:rPr>
          <w:rFonts w:hint="eastAsia" w:ascii="Times New Roman" w:hAnsi="Times New Roman" w:cs="Times New Roman"/>
          <w:sz w:val="18"/>
          <w:szCs w:val="18"/>
          <w:lang w:eastAsia="zh-CN"/>
        </w:rPr>
        <w:t>and</w:t>
      </w:r>
      <w:r>
        <w:rPr>
          <w:rFonts w:hint="default" w:ascii="Times New Roman" w:hAnsi="Times New Roman" w:cs="Times New Roman"/>
          <w:sz w:val="18"/>
          <w:szCs w:val="18"/>
        </w:rPr>
        <w:t xml:space="preserve"> Soil Science. </w:t>
      </w: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HYPERLINK "https://doi.org/10.9734/ijpss/2023/v35i234253." </w:instrText>
      </w:r>
      <w:r>
        <w:rPr>
          <w:rFonts w:hint="default" w:ascii="Times New Roman" w:hAnsi="Times New Roman" w:cs="Times New Roman"/>
          <w:sz w:val="18"/>
          <w:szCs w:val="18"/>
        </w:rPr>
        <w:fldChar w:fldCharType="separate"/>
      </w:r>
      <w:r>
        <w:rPr>
          <w:rStyle w:val="9"/>
          <w:rFonts w:hint="default" w:ascii="Times New Roman" w:hAnsi="Times New Roman" w:cs="Times New Roman"/>
          <w:sz w:val="18"/>
          <w:szCs w:val="18"/>
        </w:rPr>
        <w:t>https://doi.org/10.9734/ijpss/2023/v35i234253.</w:t>
      </w:r>
      <w:r>
        <w:rPr>
          <w:rFonts w:hint="default" w:ascii="Times New Roman" w:hAnsi="Times New Roman" w:cs="Times New Roman"/>
          <w:sz w:val="18"/>
          <w:szCs w:val="18"/>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rPr>
      </w:pPr>
      <w:r>
        <w:rPr>
          <w:rFonts w:hint="default" w:ascii="Times New Roman" w:hAnsi="Times New Roman" w:cs="Times New Roman"/>
          <w:sz w:val="18"/>
          <w:szCs w:val="18"/>
        </w:rPr>
        <w:t>Sharma</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M., Kaushal</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R., Kaushik</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 xml:space="preserve">P., </w:t>
      </w:r>
      <w:r>
        <w:rPr>
          <w:rFonts w:hint="eastAsia" w:ascii="Times New Roman" w:hAnsi="Times New Roman" w:cs="Times New Roman"/>
          <w:sz w:val="18"/>
          <w:szCs w:val="18"/>
          <w:lang w:eastAsia="zh-CN"/>
        </w:rPr>
        <w:t>and</w:t>
      </w:r>
      <w:r>
        <w:rPr>
          <w:rFonts w:hint="default" w:ascii="Times New Roman" w:hAnsi="Times New Roman" w:cs="Times New Roman"/>
          <w:sz w:val="18"/>
          <w:szCs w:val="18"/>
        </w:rPr>
        <w:t xml:space="preserve"> Ramakrishna</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S., 2021</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Carbon Farming: Prospects and Challenges. Sustainability. </w:t>
      </w: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HYPERLINK "https://doi.org/10.20944/preprints202108.0496.v1." </w:instrText>
      </w:r>
      <w:r>
        <w:rPr>
          <w:rFonts w:hint="default" w:ascii="Times New Roman" w:hAnsi="Times New Roman" w:cs="Times New Roman"/>
          <w:sz w:val="18"/>
          <w:szCs w:val="18"/>
        </w:rPr>
        <w:fldChar w:fldCharType="separate"/>
      </w:r>
      <w:r>
        <w:rPr>
          <w:rStyle w:val="9"/>
          <w:rFonts w:hint="default" w:ascii="Times New Roman" w:hAnsi="Times New Roman" w:cs="Times New Roman"/>
          <w:sz w:val="18"/>
          <w:szCs w:val="18"/>
        </w:rPr>
        <w:t>https://doi.org/10.20944/preprints202108.0496.v1.</w:t>
      </w:r>
      <w:r>
        <w:rPr>
          <w:rFonts w:hint="default" w:ascii="Times New Roman" w:hAnsi="Times New Roman" w:cs="Times New Roman"/>
          <w:sz w:val="18"/>
          <w:szCs w:val="18"/>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rPr>
      </w:pPr>
      <w:r>
        <w:rPr>
          <w:rFonts w:hint="default" w:ascii="Times New Roman" w:hAnsi="Times New Roman" w:cs="Times New Roman"/>
          <w:sz w:val="18"/>
          <w:szCs w:val="18"/>
        </w:rPr>
        <w:t>Shrestha</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B., Chang</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S., Bork</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 xml:space="preserve">E., </w:t>
      </w:r>
      <w:r>
        <w:rPr>
          <w:rFonts w:hint="eastAsia" w:ascii="Times New Roman" w:hAnsi="Times New Roman" w:cs="Times New Roman"/>
          <w:sz w:val="18"/>
          <w:szCs w:val="18"/>
          <w:lang w:eastAsia="zh-CN"/>
        </w:rPr>
        <w:t>and</w:t>
      </w:r>
      <w:r>
        <w:rPr>
          <w:rFonts w:hint="default" w:ascii="Times New Roman" w:hAnsi="Times New Roman" w:cs="Times New Roman"/>
          <w:sz w:val="18"/>
          <w:szCs w:val="18"/>
        </w:rPr>
        <w:t xml:space="preserve"> Carlyle</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C., 2018</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Enrichment Planting and Soil Amendments Enhance Carbon Sequestration and Reduce Greenhouse Gas Emissions in Agroforestry Systems: A Review. Forests. </w:t>
      </w: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HYPERLINK "https://doi.org/10.3390/F9060369." </w:instrText>
      </w:r>
      <w:r>
        <w:rPr>
          <w:rFonts w:hint="default" w:ascii="Times New Roman" w:hAnsi="Times New Roman" w:cs="Times New Roman"/>
          <w:sz w:val="18"/>
          <w:szCs w:val="18"/>
        </w:rPr>
        <w:fldChar w:fldCharType="separate"/>
      </w:r>
      <w:r>
        <w:rPr>
          <w:rStyle w:val="9"/>
          <w:rFonts w:hint="default" w:ascii="Times New Roman" w:hAnsi="Times New Roman" w:cs="Times New Roman"/>
          <w:sz w:val="18"/>
          <w:szCs w:val="18"/>
        </w:rPr>
        <w:t>https://doi.org/10.3390/F9060369.</w:t>
      </w:r>
      <w:r>
        <w:rPr>
          <w:rFonts w:hint="default" w:ascii="Times New Roman" w:hAnsi="Times New Roman" w:cs="Times New Roman"/>
          <w:sz w:val="18"/>
          <w:szCs w:val="18"/>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rPr>
      </w:pPr>
      <w:r>
        <w:rPr>
          <w:rFonts w:hint="default" w:ascii="Times New Roman" w:hAnsi="Times New Roman" w:cs="Times New Roman"/>
          <w:sz w:val="18"/>
          <w:szCs w:val="18"/>
        </w:rPr>
        <w:t>Tamburini</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E., Gaglio</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M., Castaldelli</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 xml:space="preserve">G., </w:t>
      </w:r>
      <w:r>
        <w:rPr>
          <w:rFonts w:hint="eastAsia" w:ascii="Times New Roman" w:hAnsi="Times New Roman" w:cs="Times New Roman"/>
          <w:sz w:val="18"/>
          <w:szCs w:val="18"/>
          <w:lang w:eastAsia="zh-CN"/>
        </w:rPr>
        <w:t>and</w:t>
      </w:r>
      <w:r>
        <w:rPr>
          <w:rFonts w:hint="default" w:ascii="Times New Roman" w:hAnsi="Times New Roman" w:cs="Times New Roman"/>
          <w:sz w:val="18"/>
          <w:szCs w:val="18"/>
        </w:rPr>
        <w:t xml:space="preserve"> Fano</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E., 2020</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Biogas from Agri-Food and Agricultural Waste Can Appreciate Agro-Ecosystem Services: The Case Study of Emilia Romagna Region. Sustainability. </w:t>
      </w: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HYPERLINK "https://doi.org/10.3390/su12208392." </w:instrText>
      </w:r>
      <w:r>
        <w:rPr>
          <w:rFonts w:hint="default" w:ascii="Times New Roman" w:hAnsi="Times New Roman" w:cs="Times New Roman"/>
          <w:sz w:val="18"/>
          <w:szCs w:val="18"/>
        </w:rPr>
        <w:fldChar w:fldCharType="separate"/>
      </w:r>
      <w:r>
        <w:rPr>
          <w:rStyle w:val="9"/>
          <w:rFonts w:hint="default" w:ascii="Times New Roman" w:hAnsi="Times New Roman" w:cs="Times New Roman"/>
          <w:sz w:val="18"/>
          <w:szCs w:val="18"/>
        </w:rPr>
        <w:t>https://doi.org/10.3390/su12208392.</w:t>
      </w:r>
      <w:r>
        <w:rPr>
          <w:rFonts w:hint="default" w:ascii="Times New Roman" w:hAnsi="Times New Roman" w:cs="Times New Roman"/>
          <w:sz w:val="18"/>
          <w:szCs w:val="18"/>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rPr>
      </w:pPr>
      <w:r>
        <w:rPr>
          <w:rFonts w:hint="default" w:ascii="Times New Roman" w:hAnsi="Times New Roman" w:cs="Times New Roman"/>
          <w:sz w:val="18"/>
          <w:szCs w:val="18"/>
        </w:rPr>
        <w:t>Tiefenbacher</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A., Sandén</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T., Haslmayr</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H., Miloczki</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J., Wenzel</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 xml:space="preserve">W., </w:t>
      </w:r>
      <w:r>
        <w:rPr>
          <w:rFonts w:hint="eastAsia" w:ascii="Times New Roman" w:hAnsi="Times New Roman" w:cs="Times New Roman"/>
          <w:sz w:val="18"/>
          <w:szCs w:val="18"/>
          <w:lang w:eastAsia="zh-CN"/>
        </w:rPr>
        <w:t>and</w:t>
      </w:r>
      <w:r>
        <w:rPr>
          <w:rFonts w:hint="default" w:ascii="Times New Roman" w:hAnsi="Times New Roman" w:cs="Times New Roman"/>
          <w:sz w:val="18"/>
          <w:szCs w:val="18"/>
        </w:rPr>
        <w:t xml:space="preserve"> Spiegel</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H., 2021</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Optimizing Carbon Sequestration in Croplands: A Synthesis. Agronomy, 11</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882. </w:t>
      </w: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HYPERLINK "https://doi.org/10.3390/AGRONOMY11050882." </w:instrText>
      </w:r>
      <w:r>
        <w:rPr>
          <w:rFonts w:hint="default" w:ascii="Times New Roman" w:hAnsi="Times New Roman" w:cs="Times New Roman"/>
          <w:sz w:val="18"/>
          <w:szCs w:val="18"/>
        </w:rPr>
        <w:fldChar w:fldCharType="separate"/>
      </w:r>
      <w:r>
        <w:rPr>
          <w:rStyle w:val="9"/>
          <w:rFonts w:hint="default" w:ascii="Times New Roman" w:hAnsi="Times New Roman" w:cs="Times New Roman"/>
          <w:sz w:val="18"/>
          <w:szCs w:val="18"/>
        </w:rPr>
        <w:t>https://doi.org/10.3390/AGRONOMY11050882.</w:t>
      </w:r>
      <w:r>
        <w:rPr>
          <w:rFonts w:hint="default" w:ascii="Times New Roman" w:hAnsi="Times New Roman" w:cs="Times New Roman"/>
          <w:sz w:val="18"/>
          <w:szCs w:val="18"/>
        </w:rPr>
        <w:fldChar w:fldCharType="end"/>
      </w:r>
    </w:p>
    <w:p>
      <w:pPr>
        <w:keepNext w:val="0"/>
        <w:keepLines w:val="0"/>
        <w:pageBreakBefore w:val="0"/>
        <w:widowControl w:val="0"/>
        <w:kinsoku/>
        <w:wordWrap/>
        <w:overflowPunct/>
        <w:topLinePunct w:val="0"/>
        <w:autoSpaceDE/>
        <w:autoSpaceDN/>
        <w:bidi w:val="0"/>
        <w:adjustRightInd/>
        <w:snapToGrid/>
        <w:ind w:left="360" w:hanging="360" w:hangingChars="200"/>
        <w:textAlignment w:val="auto"/>
        <w:rPr>
          <w:rFonts w:hint="default" w:ascii="Times New Roman" w:hAnsi="Times New Roman" w:cs="Times New Roman"/>
          <w:sz w:val="18"/>
          <w:szCs w:val="18"/>
        </w:rPr>
      </w:pPr>
      <w:r>
        <w:rPr>
          <w:rFonts w:hint="default" w:ascii="Times New Roman" w:hAnsi="Times New Roman" w:cs="Times New Roman"/>
          <w:sz w:val="18"/>
          <w:szCs w:val="18"/>
        </w:rPr>
        <w:t>White</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R., 2022</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The Role of Soil Carbon Sequestration as a Climate Change Mitigation Strategy: An Australian Case Study. Soil Systems. </w:t>
      </w: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HYPERLINK "https://doi.org/10.3390/soilsystems6020046." </w:instrText>
      </w:r>
      <w:r>
        <w:rPr>
          <w:rFonts w:hint="default" w:ascii="Times New Roman" w:hAnsi="Times New Roman" w:cs="Times New Roman"/>
          <w:sz w:val="18"/>
          <w:szCs w:val="18"/>
        </w:rPr>
        <w:fldChar w:fldCharType="separate"/>
      </w:r>
      <w:r>
        <w:rPr>
          <w:rStyle w:val="9"/>
          <w:rFonts w:hint="default" w:ascii="Times New Roman" w:hAnsi="Times New Roman" w:cs="Times New Roman"/>
          <w:sz w:val="18"/>
          <w:szCs w:val="18"/>
        </w:rPr>
        <w:t>https://doi.org/10.3390/soilsystems6020046.</w:t>
      </w:r>
      <w:r>
        <w:rPr>
          <w:rFonts w:hint="default" w:ascii="Times New Roman" w:hAnsi="Times New Roman" w:cs="Times New Roman"/>
          <w:sz w:val="18"/>
          <w:szCs w:val="18"/>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ind w:left="360" w:leftChars="0" w:hanging="360" w:hangingChars="200"/>
        <w:textAlignment w:val="auto"/>
        <w:rPr>
          <w:rFonts w:hint="default" w:ascii="Times New Roman" w:hAnsi="Times New Roman" w:cs="Times New Roman"/>
          <w:sz w:val="18"/>
          <w:szCs w:val="18"/>
        </w:rPr>
      </w:pPr>
      <w:r>
        <w:rPr>
          <w:rFonts w:hint="default" w:ascii="Times New Roman" w:hAnsi="Times New Roman" w:cs="Times New Roman"/>
          <w:sz w:val="18"/>
          <w:szCs w:val="18"/>
        </w:rPr>
        <w:t>Xu</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S., Qiao</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Z., Luo</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L., Sun</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Y., Wong</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J., Geng</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 xml:space="preserve">X., </w:t>
      </w:r>
      <w:r>
        <w:rPr>
          <w:rFonts w:hint="eastAsia" w:ascii="Times New Roman" w:hAnsi="Times New Roman" w:cs="Times New Roman"/>
          <w:sz w:val="18"/>
          <w:szCs w:val="18"/>
          <w:lang w:eastAsia="zh-CN"/>
        </w:rPr>
        <w:t>and</w:t>
      </w:r>
      <w:r>
        <w:rPr>
          <w:rFonts w:hint="default" w:ascii="Times New Roman" w:hAnsi="Times New Roman" w:cs="Times New Roman"/>
          <w:sz w:val="18"/>
          <w:szCs w:val="18"/>
        </w:rPr>
        <w:t xml:space="preserve"> Ni</w:t>
      </w:r>
      <w:r>
        <w:rPr>
          <w:rFonts w:hint="eastAsia" w:ascii="Times New Roman" w:hAnsi="Times New Roman" w:cs="Times New Roman"/>
          <w:sz w:val="18"/>
          <w:szCs w:val="18"/>
          <w:lang w:eastAsia="zh-CN"/>
        </w:rPr>
        <w:t xml:space="preserve"> </w:t>
      </w:r>
      <w:r>
        <w:rPr>
          <w:rFonts w:hint="default" w:ascii="Times New Roman" w:hAnsi="Times New Roman" w:cs="Times New Roman"/>
          <w:sz w:val="18"/>
          <w:szCs w:val="18"/>
        </w:rPr>
        <w:t>J., 2021</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 xml:space="preserve"> On-site CO</w:t>
      </w:r>
      <w:r>
        <w:rPr>
          <w:rFonts w:hint="default" w:ascii="Times New Roman" w:hAnsi="Times New Roman" w:cs="Times New Roman"/>
          <w:sz w:val="18"/>
          <w:szCs w:val="18"/>
          <w:vertAlign w:val="subscript"/>
        </w:rPr>
        <w:t>2</w:t>
      </w:r>
      <w:r>
        <w:rPr>
          <w:rFonts w:hint="default" w:ascii="Times New Roman" w:hAnsi="Times New Roman" w:cs="Times New Roman"/>
          <w:sz w:val="18"/>
          <w:szCs w:val="18"/>
        </w:rPr>
        <w:t xml:space="preserve"> bio-sequestration in anaerobic digestion: Current status and prospects.. Bioresource technology, pp.125037 . </w:t>
      </w: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HYPERLINK "https://doi.org/10.1016/j.biortech.2021.125037." </w:instrText>
      </w:r>
      <w:r>
        <w:rPr>
          <w:rFonts w:hint="default" w:ascii="Times New Roman" w:hAnsi="Times New Roman" w:cs="Times New Roman"/>
          <w:sz w:val="18"/>
          <w:szCs w:val="18"/>
        </w:rPr>
        <w:fldChar w:fldCharType="separate"/>
      </w:r>
      <w:r>
        <w:rPr>
          <w:rStyle w:val="9"/>
          <w:rFonts w:hint="default" w:ascii="Times New Roman" w:hAnsi="Times New Roman" w:cs="Times New Roman"/>
          <w:sz w:val="18"/>
          <w:szCs w:val="18"/>
        </w:rPr>
        <w:t>https://doi.org/10.1016/j.biortech.2021.125037.</w:t>
      </w:r>
      <w:r>
        <w:rPr>
          <w:rFonts w:hint="default" w:ascii="Times New Roman" w:hAnsi="Times New Roman" w:cs="Times New Roman"/>
          <w:sz w:val="18"/>
          <w:szCs w:val="18"/>
        </w:rPr>
        <w:fldChar w:fldCharType="end"/>
      </w:r>
    </w:p>
    <w:p>
      <w:pPr>
        <w:rPr>
          <w:rFonts w:hint="default" w:ascii="Times New Roman" w:hAnsi="Times New Roman" w:cs="Times New Roman"/>
          <w:sz w:val="21"/>
          <w:szCs w:val="21"/>
          <w:lang w:val="en-US" w:eastAsia="zh-CN"/>
        </w:rPr>
      </w:pPr>
    </w:p>
    <w:sectPr>
      <w:pgSz w:w="11906" w:h="16838"/>
      <w:pgMar w:top="2013" w:right="1134" w:bottom="850" w:left="1134"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43"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ingFang SC">
    <w:altName w:val="Segoe Print"/>
    <w:panose1 w:val="00000000000000000000"/>
    <w:charset w:val="00"/>
    <w:family w:val="auto"/>
    <w:pitch w:val="default"/>
    <w:sig w:usb0="00000000" w:usb1="00000000" w:usb2="00000000" w:usb3="00000000" w:csb0="00000000" w:csb1="00000000"/>
  </w:font>
  <w:font w:name="Times New Roman Bold">
    <w:altName w:val="Times New Roman"/>
    <w:panose1 w:val="020B0604020202020204"/>
    <w:charset w:val="00"/>
    <w:family w:val="auto"/>
    <w:pitch w:val="default"/>
    <w:sig w:usb0="00000000" w:usb1="00000000" w:usb2="00000009" w:usb3="00000000" w:csb0="400001FF" w:csb1="FFFF0000"/>
  </w:font>
  <w:font w:name="Times New Roman Regular">
    <w:altName w:val="Times New Roman"/>
    <w:panose1 w:val="02020503050405090304"/>
    <w:charset w:val="00"/>
    <w:family w:val="auto"/>
    <w:pitch w:val="default"/>
    <w:sig w:usb0="00000000" w:usb1="00000000" w:usb2="00000001" w:usb3="00000000" w:csb0="400001BF" w:csb1="DFF70000"/>
  </w:font>
  <w:font w:name="微软雅黑">
    <w:panose1 w:val="020B0503020204020204"/>
    <w:charset w:val="86"/>
    <w:family w:val="auto"/>
    <w:pitch w:val="default"/>
    <w:sig w:usb0="A0000287" w:usb1="28CF3C52"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val="1"/>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71006AF"/>
    <w:rsid w:val="04FB556D"/>
    <w:rsid w:val="0C286C06"/>
    <w:rsid w:val="0F712983"/>
    <w:rsid w:val="125F5773"/>
    <w:rsid w:val="171006AF"/>
    <w:rsid w:val="1A7B5E01"/>
    <w:rsid w:val="1E4A3237"/>
    <w:rsid w:val="224D4A55"/>
    <w:rsid w:val="22DD32C8"/>
    <w:rsid w:val="26E21F64"/>
    <w:rsid w:val="28166A4D"/>
    <w:rsid w:val="29781CEE"/>
    <w:rsid w:val="2CAC2DD5"/>
    <w:rsid w:val="43497BFA"/>
    <w:rsid w:val="44B9616E"/>
    <w:rsid w:val="480D54FC"/>
    <w:rsid w:val="50273461"/>
    <w:rsid w:val="52CD0D5D"/>
    <w:rsid w:val="55BB76D3"/>
    <w:rsid w:val="57262BC1"/>
    <w:rsid w:val="59F8404A"/>
    <w:rsid w:val="61547A62"/>
    <w:rsid w:val="72AC038D"/>
    <w:rsid w:val="7964105E"/>
    <w:rsid w:val="7B690488"/>
    <w:rsid w:val="7D6652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paragraph" w:styleId="4">
    <w:name w:val="heading 4"/>
    <w:basedOn w:val="1"/>
    <w:next w:val="1"/>
    <w:semiHidden/>
    <w:unhideWhenUsed/>
    <w:qFormat/>
    <w:uiPriority w:val="0"/>
    <w:pPr>
      <w:spacing w:before="0" w:beforeAutospacing="1" w:after="0" w:afterAutospacing="1"/>
      <w:jc w:val="left"/>
    </w:pPr>
    <w:rPr>
      <w:rFonts w:hint="eastAsia" w:ascii="宋体" w:hAnsi="宋体" w:eastAsia="宋体" w:cs="宋体"/>
      <w:b/>
      <w:kern w:val="0"/>
      <w:sz w:val="24"/>
      <w:szCs w:val="24"/>
      <w:lang w:val="en-US" w:eastAsia="zh-CN" w:bidi="ar"/>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5">
    <w:name w:val="Normal (Web)"/>
    <w:basedOn w:val="1"/>
    <w:qFormat/>
    <w:uiPriority w:val="0"/>
    <w:rPr>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qFormat/>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13125</Words>
  <Characters>41072</Characters>
  <Lines>0</Lines>
  <Paragraphs>0</Paragraphs>
  <TotalTime>15</TotalTime>
  <ScaleCrop>false</ScaleCrop>
  <LinksUpToDate>false</LinksUpToDate>
  <CharactersWithSpaces>46186</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2024-11-18T05:14:00Z</dcterms:created>
  <dc:creator>WPS_1660096757</dc:creator>
  <cp:lastModifiedBy>WPS_1660096757</cp:lastModifiedBy>
  <dcterms:modified xsi:type="dcterms:W3CDTF">2025-01-23T06:43:32Z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845E51B1BD414BBEAD07BE90FC4F9431_13</vt:lpwstr>
  </property>
  <property fmtid="{D5CDD505-2E9C-101B-9397-08002B2CF9AE}" pid="4" name="KSOTemplateDocerSaveRecord">
    <vt:lpwstr>eyJoZGlkIjoiNmZkYzQyODgyYjBhMzgyYjcxYzRhMTMwNThjZjI3NjIiLCJ1c2VySWQiOiIyMjk2NTQxOTAifQ==</vt:lpwstr>
  </property>
</Properties>
</file>